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09CC77">
      <w:pPr>
        <w:pStyle w:val="2"/>
        <w:spacing w:before="0" w:after="156" w:afterLines="50" w:line="360" w:lineRule="auto"/>
        <w:jc w:val="left"/>
        <w:rPr>
          <w:rFonts w:hint="eastAsia" w:eastAsia="宋体"/>
          <w:color w:val="auto"/>
          <w:sz w:val="28"/>
          <w:szCs w:val="28"/>
          <w:lang w:val="en-US" w:eastAsia="zh-CN"/>
        </w:rPr>
      </w:pPr>
      <w:r>
        <w:rPr>
          <w:rFonts w:hint="eastAsia" w:eastAsia="宋体"/>
          <w:color w:val="auto"/>
          <w:sz w:val="28"/>
          <w:szCs w:val="28"/>
          <w:lang w:val="en-US" w:eastAsia="zh-CN"/>
        </w:rPr>
        <w:t>附件1：</w:t>
      </w:r>
      <w:bookmarkStart w:id="0" w:name="_GoBack"/>
      <w:bookmarkEnd w:id="0"/>
    </w:p>
    <w:p w14:paraId="730D8B00">
      <w:pPr>
        <w:pStyle w:val="2"/>
        <w:spacing w:before="0" w:after="156" w:afterLines="50" w:line="360" w:lineRule="auto"/>
        <w:rPr>
          <w:rFonts w:eastAsia="宋体"/>
          <w:color w:val="auto"/>
          <w:sz w:val="36"/>
          <w:szCs w:val="36"/>
        </w:rPr>
      </w:pPr>
      <w:r>
        <w:rPr>
          <w:rFonts w:hint="eastAsia" w:eastAsia="宋体"/>
          <w:color w:val="auto"/>
          <w:sz w:val="36"/>
          <w:szCs w:val="36"/>
        </w:rPr>
        <w:t>中国高校产学研创新基金－</w:t>
      </w:r>
      <w:r>
        <w:rPr>
          <w:rFonts w:hint="eastAsia" w:eastAsia="宋体"/>
          <w:color w:val="auto"/>
          <w:sz w:val="36"/>
          <w:szCs w:val="36"/>
          <w:lang w:val="en-US" w:eastAsia="zh-CN"/>
        </w:rPr>
        <w:t>迈瑞</w:t>
      </w:r>
      <w:r>
        <w:rPr>
          <w:rFonts w:hint="eastAsia" w:eastAsia="宋体"/>
          <w:color w:val="auto"/>
          <w:sz w:val="36"/>
          <w:szCs w:val="36"/>
        </w:rPr>
        <w:t>专项</w:t>
      </w:r>
    </w:p>
    <w:p w14:paraId="50D2A8CD">
      <w:pPr>
        <w:pStyle w:val="2"/>
        <w:spacing w:before="0" w:after="156" w:afterLines="50" w:line="360" w:lineRule="auto"/>
        <w:rPr>
          <w:rFonts w:eastAsia="宋体"/>
          <w:color w:val="auto"/>
          <w:sz w:val="36"/>
          <w:szCs w:val="36"/>
        </w:rPr>
      </w:pPr>
      <w:r>
        <w:rPr>
          <w:rFonts w:hint="eastAsia" w:eastAsia="宋体"/>
          <w:color w:val="auto"/>
          <w:sz w:val="36"/>
          <w:szCs w:val="36"/>
        </w:rPr>
        <w:t>申请指南说明</w:t>
      </w:r>
    </w:p>
    <w:p w14:paraId="21DCD1E5">
      <w:pPr>
        <w:pStyle w:val="2"/>
        <w:spacing w:before="0" w:after="156" w:afterLines="50" w:line="360" w:lineRule="auto"/>
        <w:rPr>
          <w:rFonts w:eastAsia="宋体"/>
          <w:color w:val="auto"/>
          <w:szCs w:val="32"/>
        </w:rPr>
      </w:pPr>
    </w:p>
    <w:p w14:paraId="10C774CB">
      <w:pPr>
        <w:spacing w:before="0" w:after="0" w:line="360" w:lineRule="auto"/>
        <w:ind w:firstLine="480"/>
        <w:rPr>
          <w:color w:val="auto"/>
          <w:sz w:val="28"/>
          <w:szCs w:val="28"/>
        </w:rPr>
      </w:pPr>
      <w:r>
        <w:rPr>
          <w:rFonts w:hint="eastAsia"/>
          <w:sz w:val="28"/>
          <w:szCs w:val="28"/>
        </w:rPr>
        <w:t>根据《关于申报202</w:t>
      </w:r>
      <w:r>
        <w:rPr>
          <w:rFonts w:hint="eastAsia"/>
          <w:sz w:val="28"/>
          <w:szCs w:val="28"/>
          <w:lang w:val="en-US" w:eastAsia="zh-CN"/>
        </w:rPr>
        <w:t>5</w:t>
      </w:r>
      <w:r>
        <w:rPr>
          <w:rFonts w:hint="eastAsia"/>
          <w:sz w:val="28"/>
          <w:szCs w:val="28"/>
        </w:rPr>
        <w:t>年中国高校产学研创新基金的通知》（教科发中心函〔202</w:t>
      </w:r>
      <w:r>
        <w:rPr>
          <w:rFonts w:hint="eastAsia"/>
          <w:sz w:val="28"/>
          <w:szCs w:val="28"/>
          <w:lang w:val="en-US" w:eastAsia="zh-CN"/>
        </w:rPr>
        <w:t>5</w:t>
      </w:r>
      <w:r>
        <w:rPr>
          <w:rFonts w:hint="eastAsia"/>
          <w:sz w:val="28"/>
          <w:szCs w:val="28"/>
        </w:rPr>
        <w:t>〕3号）的相关要求，教育部高等学校科学研究发展中心与深圳迈瑞生物医疗电子股份有限公司设立</w:t>
      </w:r>
      <w:r>
        <w:rPr>
          <w:rFonts w:hint="eastAsia"/>
          <w:color w:val="auto"/>
          <w:sz w:val="28"/>
          <w:szCs w:val="28"/>
        </w:rPr>
        <w:t>“中国</w:t>
      </w:r>
      <w:r>
        <w:rPr>
          <w:color w:val="auto"/>
          <w:sz w:val="28"/>
          <w:szCs w:val="28"/>
        </w:rPr>
        <w:t>高校产学研创新基金—</w:t>
      </w:r>
      <w:r>
        <w:rPr>
          <w:rFonts w:hint="eastAsia"/>
          <w:color w:val="auto"/>
          <w:sz w:val="28"/>
          <w:szCs w:val="28"/>
          <w:lang w:val="en-US" w:eastAsia="zh-CN"/>
        </w:rPr>
        <w:t>迈瑞</w:t>
      </w:r>
      <w:r>
        <w:rPr>
          <w:rFonts w:hint="eastAsia"/>
          <w:color w:val="auto"/>
          <w:sz w:val="28"/>
          <w:szCs w:val="28"/>
        </w:rPr>
        <w:t>专项”，用以支持高校在医学</w:t>
      </w:r>
      <w:r>
        <w:rPr>
          <w:rFonts w:hint="eastAsia"/>
          <w:color w:val="auto"/>
          <w:sz w:val="28"/>
          <w:szCs w:val="28"/>
          <w:lang w:val="en-US" w:eastAsia="zh-CN"/>
        </w:rPr>
        <w:t>检验、超声和监护</w:t>
      </w:r>
      <w:r>
        <w:rPr>
          <w:rFonts w:hint="eastAsia"/>
          <w:color w:val="auto"/>
          <w:sz w:val="28"/>
          <w:szCs w:val="28"/>
        </w:rPr>
        <w:t>领域的创新研究。</w:t>
      </w:r>
    </w:p>
    <w:p w14:paraId="4FBF41E9">
      <w:pPr>
        <w:spacing w:before="0" w:after="0" w:line="360" w:lineRule="auto"/>
        <w:ind w:firstLine="480"/>
        <w:rPr>
          <w:rFonts w:hint="eastAsia" w:eastAsia="宋体"/>
          <w:b/>
          <w:bCs/>
          <w:color w:val="auto"/>
          <w:sz w:val="32"/>
          <w:szCs w:val="32"/>
          <w:lang w:val="en-US" w:eastAsia="zh-CN"/>
        </w:rPr>
      </w:pPr>
      <w:r>
        <w:rPr>
          <w:rFonts w:hint="eastAsia"/>
          <w:b/>
          <w:bCs/>
          <w:color w:val="auto"/>
          <w:sz w:val="32"/>
          <w:szCs w:val="32"/>
        </w:rPr>
        <w:t>一、课题说明</w:t>
      </w:r>
    </w:p>
    <w:p w14:paraId="306B8CB1">
      <w:pPr>
        <w:keepNext w:val="0"/>
        <w:keepLines w:val="0"/>
        <w:pageBreakBefore w:val="0"/>
        <w:widowControl/>
        <w:numPr>
          <w:ilvl w:val="0"/>
          <w:numId w:val="2"/>
        </w:numPr>
        <w:kinsoku/>
        <w:wordWrap/>
        <w:overflowPunct/>
        <w:topLinePunct w:val="0"/>
        <w:autoSpaceDE/>
        <w:autoSpaceDN/>
        <w:bidi w:val="0"/>
        <w:adjustRightInd/>
        <w:snapToGrid/>
        <w:spacing w:before="0" w:after="0" w:line="360" w:lineRule="auto"/>
        <w:ind w:firstLine="560" w:firstLineChars="200"/>
        <w:textAlignment w:val="auto"/>
        <w:rPr>
          <w:color w:val="auto"/>
          <w:sz w:val="28"/>
          <w:szCs w:val="28"/>
        </w:rPr>
      </w:pPr>
      <w:r>
        <w:rPr>
          <w:rFonts w:hint="eastAsia"/>
          <w:color w:val="auto"/>
          <w:sz w:val="28"/>
          <w:szCs w:val="28"/>
        </w:rPr>
        <w:t>专项课题旨在全国范围内遴选合作高校，共同关注临床诊疗实际需求，通过基础研究、临床应用研究和教学实践，构建产、学、研、医、用深度融合体系，培养具备基于临床实践的科研思维的应用型创新人才，为进一步优化诊疗方案提供依据，助力医学高质量发展。</w:t>
      </w:r>
    </w:p>
    <w:p w14:paraId="51239DE1">
      <w:pPr>
        <w:keepNext w:val="0"/>
        <w:keepLines w:val="0"/>
        <w:pageBreakBefore w:val="0"/>
        <w:widowControl/>
        <w:numPr>
          <w:ilvl w:val="0"/>
          <w:numId w:val="2"/>
        </w:numPr>
        <w:kinsoku/>
        <w:wordWrap/>
        <w:overflowPunct/>
        <w:topLinePunct w:val="0"/>
        <w:autoSpaceDE/>
        <w:autoSpaceDN/>
        <w:bidi w:val="0"/>
        <w:adjustRightInd/>
        <w:snapToGrid/>
        <w:spacing w:before="0" w:after="0" w:line="360" w:lineRule="auto"/>
        <w:ind w:firstLine="560" w:firstLineChars="200"/>
        <w:textAlignment w:val="auto"/>
        <w:rPr>
          <w:rFonts w:hint="eastAsia"/>
          <w:color w:val="auto"/>
          <w:sz w:val="28"/>
          <w:szCs w:val="28"/>
        </w:rPr>
      </w:pPr>
      <w:r>
        <w:rPr>
          <w:rFonts w:hint="eastAsia"/>
          <w:color w:val="auto"/>
          <w:sz w:val="28"/>
          <w:szCs w:val="28"/>
        </w:rPr>
        <w:t>专项课题基于常规/创新的检测平台、技术及指标在疾病诊疗过程中的应用价值，拟开展临床检验、超声和监护等三个医学的子领域相关应用研究。</w:t>
      </w:r>
    </w:p>
    <w:p w14:paraId="7A0E0F77">
      <w:pPr>
        <w:keepNext w:val="0"/>
        <w:keepLines w:val="0"/>
        <w:pageBreakBefore w:val="0"/>
        <w:widowControl/>
        <w:numPr>
          <w:ilvl w:val="0"/>
          <w:numId w:val="2"/>
        </w:numPr>
        <w:kinsoku/>
        <w:wordWrap/>
        <w:overflowPunct/>
        <w:topLinePunct w:val="0"/>
        <w:autoSpaceDE/>
        <w:autoSpaceDN/>
        <w:bidi w:val="0"/>
        <w:adjustRightInd/>
        <w:snapToGrid/>
        <w:spacing w:before="0" w:after="0" w:line="360" w:lineRule="auto"/>
        <w:ind w:firstLine="560" w:firstLineChars="200"/>
        <w:textAlignment w:val="auto"/>
        <w:rPr>
          <w:rFonts w:hint="eastAsia"/>
          <w:color w:val="auto"/>
          <w:sz w:val="28"/>
          <w:szCs w:val="28"/>
        </w:rPr>
      </w:pPr>
      <w:r>
        <w:rPr>
          <w:rFonts w:hint="eastAsia"/>
          <w:color w:val="auto"/>
          <w:sz w:val="28"/>
          <w:szCs w:val="28"/>
        </w:rPr>
        <w:t>根据确定的研究内容</w:t>
      </w:r>
      <w:r>
        <w:rPr>
          <w:rFonts w:hint="eastAsia"/>
          <w:color w:val="auto"/>
          <w:sz w:val="28"/>
          <w:szCs w:val="28"/>
          <w:lang w:eastAsia="zh-CN"/>
        </w:rPr>
        <w:t>，</w:t>
      </w:r>
      <w:r>
        <w:rPr>
          <w:rFonts w:hint="eastAsia"/>
          <w:color w:val="auto"/>
          <w:sz w:val="28"/>
          <w:szCs w:val="28"/>
        </w:rPr>
        <w:t>“</w:t>
      </w:r>
      <w:r>
        <w:rPr>
          <w:rFonts w:hint="eastAsia"/>
          <w:color w:val="auto"/>
          <w:sz w:val="28"/>
          <w:szCs w:val="28"/>
          <w:lang w:val="en-US" w:eastAsia="zh-CN"/>
        </w:rPr>
        <w:t>迈瑞</w:t>
      </w:r>
      <w:r>
        <w:rPr>
          <w:rFonts w:hint="eastAsia"/>
          <w:color w:val="auto"/>
          <w:sz w:val="28"/>
          <w:szCs w:val="28"/>
        </w:rPr>
        <w:t>专项”为每</w:t>
      </w:r>
      <w:r>
        <w:rPr>
          <w:rFonts w:hint="eastAsia"/>
          <w:color w:val="auto"/>
          <w:sz w:val="28"/>
          <w:szCs w:val="28"/>
          <w:lang w:val="en-US" w:eastAsia="zh-CN"/>
        </w:rPr>
        <w:t>个立</w:t>
      </w:r>
      <w:r>
        <w:rPr>
          <w:rFonts w:hint="eastAsia"/>
          <w:color w:val="auto"/>
          <w:sz w:val="28"/>
          <w:szCs w:val="28"/>
        </w:rPr>
        <w:t>项课题提供不低于10万元的研究经费及科研软硬件平台的支持（研究经费不低于总经费的50%），课题申请人无需向资助企业额外购买配套的设备或试剂。</w:t>
      </w:r>
    </w:p>
    <w:p w14:paraId="6B8188EF">
      <w:pPr>
        <w:keepNext w:val="0"/>
        <w:keepLines w:val="0"/>
        <w:pageBreakBefore w:val="0"/>
        <w:widowControl/>
        <w:numPr>
          <w:ilvl w:val="0"/>
          <w:numId w:val="2"/>
        </w:numPr>
        <w:kinsoku/>
        <w:wordWrap/>
        <w:overflowPunct/>
        <w:topLinePunct w:val="0"/>
        <w:autoSpaceDE/>
        <w:autoSpaceDN/>
        <w:bidi w:val="0"/>
        <w:adjustRightInd/>
        <w:snapToGrid/>
        <w:spacing w:before="0" w:after="0" w:line="360" w:lineRule="auto"/>
        <w:ind w:firstLine="560" w:firstLineChars="200"/>
        <w:textAlignment w:val="auto"/>
        <w:rPr>
          <w:color w:val="auto"/>
          <w:sz w:val="28"/>
          <w:szCs w:val="28"/>
          <w:highlight w:val="none"/>
        </w:rPr>
      </w:pPr>
      <w:r>
        <w:rPr>
          <w:rFonts w:hint="eastAsia"/>
          <w:color w:val="auto"/>
          <w:sz w:val="28"/>
          <w:szCs w:val="28"/>
          <w:highlight w:val="none"/>
        </w:rPr>
        <w:t>课题的</w:t>
      </w:r>
      <w:r>
        <w:rPr>
          <w:color w:val="auto"/>
          <w:sz w:val="28"/>
          <w:szCs w:val="28"/>
          <w:highlight w:val="none"/>
        </w:rPr>
        <w:t>申请截止时间为</w:t>
      </w:r>
      <w:r>
        <w:rPr>
          <w:rFonts w:hint="eastAsia"/>
          <w:color w:val="auto"/>
          <w:sz w:val="28"/>
          <w:szCs w:val="28"/>
          <w:highlight w:val="none"/>
        </w:rPr>
        <w:t>202</w:t>
      </w:r>
      <w:r>
        <w:rPr>
          <w:rFonts w:hint="eastAsia"/>
          <w:color w:val="auto"/>
          <w:sz w:val="28"/>
          <w:szCs w:val="28"/>
          <w:highlight w:val="none"/>
          <w:lang w:val="en-US" w:eastAsia="zh-CN"/>
        </w:rPr>
        <w:t>5</w:t>
      </w:r>
      <w:r>
        <w:rPr>
          <w:rFonts w:hint="eastAsia"/>
          <w:color w:val="auto"/>
          <w:sz w:val="28"/>
          <w:szCs w:val="28"/>
          <w:highlight w:val="none"/>
        </w:rPr>
        <w:t>年</w:t>
      </w:r>
      <w:r>
        <w:rPr>
          <w:rFonts w:hint="eastAsia"/>
          <w:color w:val="auto"/>
          <w:sz w:val="28"/>
          <w:szCs w:val="28"/>
          <w:highlight w:val="none"/>
          <w:lang w:val="en-US" w:eastAsia="zh-CN"/>
        </w:rPr>
        <w:t>10</w:t>
      </w:r>
      <w:r>
        <w:rPr>
          <w:rFonts w:hint="eastAsia"/>
          <w:color w:val="auto"/>
          <w:sz w:val="28"/>
          <w:szCs w:val="28"/>
          <w:highlight w:val="none"/>
        </w:rPr>
        <w:t>月</w:t>
      </w:r>
      <w:r>
        <w:rPr>
          <w:rFonts w:hint="eastAsia"/>
          <w:color w:val="auto"/>
          <w:sz w:val="28"/>
          <w:szCs w:val="28"/>
          <w:highlight w:val="none"/>
          <w:lang w:val="en-US" w:eastAsia="zh-CN"/>
        </w:rPr>
        <w:t>31</w:t>
      </w:r>
      <w:r>
        <w:rPr>
          <w:rFonts w:hint="eastAsia"/>
          <w:color w:val="auto"/>
          <w:sz w:val="28"/>
          <w:szCs w:val="28"/>
          <w:highlight w:val="none"/>
        </w:rPr>
        <w:t>日</w:t>
      </w:r>
      <w:r>
        <w:rPr>
          <w:color w:val="auto"/>
          <w:sz w:val="28"/>
          <w:szCs w:val="28"/>
          <w:highlight w:val="none"/>
        </w:rPr>
        <w:t>。计划</w:t>
      </w:r>
      <w:r>
        <w:rPr>
          <w:rFonts w:hint="eastAsia"/>
          <w:color w:val="auto"/>
          <w:sz w:val="28"/>
          <w:szCs w:val="28"/>
          <w:highlight w:val="none"/>
        </w:rPr>
        <w:t>执行时间为202</w:t>
      </w:r>
      <w:r>
        <w:rPr>
          <w:rFonts w:hint="eastAsia"/>
          <w:color w:val="auto"/>
          <w:sz w:val="28"/>
          <w:szCs w:val="28"/>
          <w:highlight w:val="none"/>
          <w:lang w:val="en-US" w:eastAsia="zh-CN"/>
        </w:rPr>
        <w:t>6</w:t>
      </w:r>
      <w:r>
        <w:rPr>
          <w:rFonts w:hint="eastAsia"/>
          <w:color w:val="auto"/>
          <w:sz w:val="28"/>
          <w:szCs w:val="28"/>
          <w:highlight w:val="none"/>
        </w:rPr>
        <w:t>年</w:t>
      </w:r>
      <w:r>
        <w:rPr>
          <w:rFonts w:hint="eastAsia"/>
          <w:color w:val="auto"/>
          <w:sz w:val="28"/>
          <w:szCs w:val="28"/>
          <w:highlight w:val="none"/>
          <w:lang w:val="en-US" w:eastAsia="zh-CN"/>
        </w:rPr>
        <w:t>1</w:t>
      </w:r>
      <w:r>
        <w:rPr>
          <w:rFonts w:hint="eastAsia"/>
          <w:color w:val="auto"/>
          <w:sz w:val="28"/>
          <w:szCs w:val="28"/>
          <w:highlight w:val="none"/>
        </w:rPr>
        <w:t>月1日～202</w:t>
      </w:r>
      <w:r>
        <w:rPr>
          <w:rFonts w:hint="eastAsia"/>
          <w:color w:val="auto"/>
          <w:sz w:val="28"/>
          <w:szCs w:val="28"/>
          <w:highlight w:val="none"/>
          <w:lang w:val="en-US" w:eastAsia="zh-CN"/>
        </w:rPr>
        <w:t>6</w:t>
      </w:r>
      <w:r>
        <w:rPr>
          <w:rFonts w:hint="eastAsia"/>
          <w:color w:val="auto"/>
          <w:sz w:val="28"/>
          <w:szCs w:val="28"/>
          <w:highlight w:val="none"/>
        </w:rPr>
        <w:t>年</w:t>
      </w:r>
      <w:r>
        <w:rPr>
          <w:rFonts w:hint="eastAsia"/>
          <w:color w:val="auto"/>
          <w:sz w:val="28"/>
          <w:szCs w:val="28"/>
          <w:highlight w:val="none"/>
          <w:lang w:val="en-US" w:eastAsia="zh-CN"/>
        </w:rPr>
        <w:t>12</w:t>
      </w:r>
      <w:r>
        <w:rPr>
          <w:rFonts w:hint="eastAsia"/>
          <w:color w:val="auto"/>
          <w:sz w:val="28"/>
          <w:szCs w:val="28"/>
          <w:highlight w:val="none"/>
        </w:rPr>
        <w:t>月</w:t>
      </w:r>
      <w:r>
        <w:rPr>
          <w:rFonts w:hint="eastAsia"/>
          <w:color w:val="auto"/>
          <w:sz w:val="28"/>
          <w:szCs w:val="28"/>
          <w:highlight w:val="none"/>
          <w:lang w:val="en-US" w:eastAsia="zh-CN"/>
        </w:rPr>
        <w:t>31</w:t>
      </w:r>
      <w:r>
        <w:rPr>
          <w:rFonts w:hint="eastAsia"/>
          <w:color w:val="auto"/>
          <w:sz w:val="28"/>
          <w:szCs w:val="28"/>
          <w:highlight w:val="none"/>
        </w:rPr>
        <w:t>日。</w:t>
      </w:r>
    </w:p>
    <w:p w14:paraId="11C21852">
      <w:pPr>
        <w:keepNext w:val="0"/>
        <w:keepLines w:val="0"/>
        <w:pageBreakBefore w:val="0"/>
        <w:widowControl/>
        <w:numPr>
          <w:ilvl w:val="0"/>
          <w:numId w:val="2"/>
        </w:numPr>
        <w:kinsoku/>
        <w:wordWrap/>
        <w:overflowPunct/>
        <w:topLinePunct w:val="0"/>
        <w:autoSpaceDE/>
        <w:autoSpaceDN/>
        <w:bidi w:val="0"/>
        <w:adjustRightInd/>
        <w:snapToGrid/>
        <w:spacing w:before="0" w:after="0" w:line="360" w:lineRule="auto"/>
        <w:ind w:firstLine="560" w:firstLineChars="200"/>
        <w:textAlignment w:val="auto"/>
        <w:rPr>
          <w:color w:val="auto"/>
          <w:sz w:val="28"/>
          <w:szCs w:val="28"/>
        </w:rPr>
      </w:pPr>
      <w:r>
        <w:rPr>
          <w:rFonts w:hint="eastAsia"/>
          <w:color w:val="auto"/>
          <w:sz w:val="28"/>
          <w:szCs w:val="28"/>
        </w:rPr>
        <w:t>课题所获得的知识产权由资助企业和</w:t>
      </w:r>
      <w:r>
        <w:rPr>
          <w:color w:val="auto"/>
          <w:sz w:val="28"/>
          <w:szCs w:val="28"/>
        </w:rPr>
        <w:t>课题承担单位共同</w:t>
      </w:r>
      <w:r>
        <w:rPr>
          <w:rFonts w:hint="eastAsia"/>
          <w:color w:val="auto"/>
          <w:sz w:val="28"/>
          <w:szCs w:val="28"/>
        </w:rPr>
        <w:t>所有。</w:t>
      </w:r>
    </w:p>
    <w:p w14:paraId="58776BB1">
      <w:pPr>
        <w:keepNext w:val="0"/>
        <w:keepLines w:val="0"/>
        <w:pageBreakBefore w:val="0"/>
        <w:widowControl/>
        <w:numPr>
          <w:ilvl w:val="0"/>
          <w:numId w:val="2"/>
        </w:numPr>
        <w:kinsoku/>
        <w:wordWrap/>
        <w:overflowPunct/>
        <w:topLinePunct w:val="0"/>
        <w:autoSpaceDE/>
        <w:autoSpaceDN/>
        <w:bidi w:val="0"/>
        <w:adjustRightInd/>
        <w:snapToGrid/>
        <w:spacing w:before="0" w:after="0" w:line="360" w:lineRule="auto"/>
        <w:ind w:firstLine="560" w:firstLineChars="200"/>
        <w:textAlignment w:val="auto"/>
        <w:rPr>
          <w:color w:val="auto"/>
          <w:sz w:val="28"/>
          <w:szCs w:val="28"/>
        </w:rPr>
      </w:pPr>
      <w:r>
        <w:rPr>
          <w:rFonts w:hint="eastAsia"/>
          <w:color w:val="auto"/>
          <w:sz w:val="28"/>
          <w:szCs w:val="28"/>
          <w:lang w:val="en-US" w:eastAsia="zh-CN"/>
        </w:rPr>
        <w:t>课题</w:t>
      </w:r>
      <w:r>
        <w:rPr>
          <w:rFonts w:hint="eastAsia"/>
          <w:color w:val="auto"/>
          <w:sz w:val="28"/>
          <w:szCs w:val="28"/>
        </w:rPr>
        <w:t>分为固定课题</w:t>
      </w:r>
      <w:r>
        <w:rPr>
          <w:rFonts w:hint="eastAsia"/>
          <w:color w:val="auto"/>
          <w:sz w:val="28"/>
          <w:szCs w:val="28"/>
          <w:lang w:eastAsia="zh-CN"/>
        </w:rPr>
        <w:t>（</w:t>
      </w:r>
      <w:r>
        <w:rPr>
          <w:rFonts w:hint="eastAsia"/>
          <w:color w:val="auto"/>
          <w:sz w:val="28"/>
          <w:szCs w:val="28"/>
          <w:lang w:val="en-US" w:eastAsia="zh-CN"/>
        </w:rPr>
        <w:t>表一</w:t>
      </w:r>
      <w:r>
        <w:rPr>
          <w:rFonts w:hint="eastAsia"/>
          <w:color w:val="auto"/>
          <w:sz w:val="28"/>
          <w:szCs w:val="28"/>
          <w:lang w:eastAsia="zh-CN"/>
        </w:rPr>
        <w:t>）</w:t>
      </w:r>
      <w:r>
        <w:rPr>
          <w:rFonts w:hint="eastAsia"/>
          <w:color w:val="auto"/>
          <w:sz w:val="28"/>
          <w:szCs w:val="28"/>
        </w:rPr>
        <w:t>和自主课题</w:t>
      </w:r>
      <w:r>
        <w:rPr>
          <w:rFonts w:hint="eastAsia"/>
          <w:color w:val="auto"/>
          <w:sz w:val="28"/>
          <w:szCs w:val="28"/>
          <w:lang w:eastAsia="zh-CN"/>
        </w:rPr>
        <w:t>（</w:t>
      </w:r>
      <w:r>
        <w:rPr>
          <w:rFonts w:hint="eastAsia"/>
          <w:color w:val="auto"/>
          <w:sz w:val="28"/>
          <w:szCs w:val="28"/>
          <w:lang w:val="en-US" w:eastAsia="zh-CN"/>
        </w:rPr>
        <w:t>表二</w:t>
      </w:r>
      <w:r>
        <w:rPr>
          <w:rFonts w:hint="eastAsia"/>
          <w:color w:val="auto"/>
          <w:sz w:val="28"/>
          <w:szCs w:val="28"/>
          <w:lang w:eastAsia="zh-CN"/>
        </w:rPr>
        <w:t>）</w:t>
      </w:r>
      <w:r>
        <w:rPr>
          <w:rFonts w:hint="eastAsia"/>
          <w:color w:val="auto"/>
          <w:sz w:val="28"/>
          <w:szCs w:val="28"/>
        </w:rPr>
        <w:t>两类：</w:t>
      </w:r>
    </w:p>
    <w:p w14:paraId="5486EAD0">
      <w:pPr>
        <w:keepNext w:val="0"/>
        <w:keepLines w:val="0"/>
        <w:pageBreakBefore w:val="0"/>
        <w:widowControl/>
        <w:tabs>
          <w:tab w:val="left" w:pos="312"/>
        </w:tabs>
        <w:kinsoku/>
        <w:wordWrap/>
        <w:overflowPunct/>
        <w:topLinePunct w:val="0"/>
        <w:autoSpaceDE/>
        <w:autoSpaceDN/>
        <w:bidi w:val="0"/>
        <w:adjustRightInd/>
        <w:snapToGrid/>
        <w:spacing w:before="0" w:after="0" w:line="360" w:lineRule="auto"/>
        <w:ind w:firstLine="560" w:firstLineChars="200"/>
        <w:textAlignment w:val="auto"/>
        <w:rPr>
          <w:color w:val="auto"/>
          <w:sz w:val="28"/>
          <w:szCs w:val="28"/>
        </w:rPr>
      </w:pPr>
      <w:r>
        <w:rPr>
          <w:rFonts w:hint="eastAsia"/>
          <w:color w:val="auto"/>
          <w:sz w:val="28"/>
          <w:szCs w:val="28"/>
        </w:rPr>
        <w:t>（1）固定课题：根据产业发展需要，为了提升和优化企业现有产品在临床诊疗中的实际应用价值，设立相关的科研课题，申请院校从固定课题（表一）中选择课题方向进行申报</w:t>
      </w:r>
      <w:r>
        <w:rPr>
          <w:rFonts w:hint="eastAsia"/>
          <w:color w:val="auto"/>
          <w:sz w:val="28"/>
          <w:szCs w:val="28"/>
          <w:lang w:eastAsia="zh-CN"/>
        </w:rPr>
        <w:t>，</w:t>
      </w:r>
      <w:r>
        <w:rPr>
          <w:rFonts w:hint="eastAsia"/>
          <w:color w:val="auto"/>
          <w:sz w:val="28"/>
          <w:szCs w:val="28"/>
        </w:rPr>
        <w:t>要求基于本专项提供的试剂和设备平台（</w:t>
      </w:r>
      <w:r>
        <w:rPr>
          <w:rFonts w:hint="eastAsia"/>
          <w:color w:val="auto"/>
          <w:sz w:val="28"/>
          <w:szCs w:val="28"/>
          <w:lang w:val="en-US" w:eastAsia="zh-CN"/>
        </w:rPr>
        <w:t>见</w:t>
      </w:r>
      <w:r>
        <w:rPr>
          <w:rFonts w:hint="eastAsia"/>
          <w:color w:val="auto"/>
          <w:sz w:val="28"/>
          <w:szCs w:val="28"/>
        </w:rPr>
        <w:t>表三）开展研究。</w:t>
      </w:r>
    </w:p>
    <w:p w14:paraId="2E0FE8AB">
      <w:pPr>
        <w:pStyle w:val="16"/>
        <w:spacing w:before="0" w:after="0" w:line="360" w:lineRule="auto"/>
        <w:ind w:left="1140" w:firstLine="0" w:firstLineChars="0"/>
        <w:rPr>
          <w:color w:val="auto"/>
          <w:sz w:val="24"/>
          <w:szCs w:val="24"/>
        </w:rPr>
      </w:pPr>
    </w:p>
    <w:p w14:paraId="598DFC27">
      <w:pPr>
        <w:spacing w:before="0" w:after="0" w:line="360" w:lineRule="auto"/>
        <w:ind w:firstLine="482"/>
        <w:jc w:val="center"/>
        <w:rPr>
          <w:color w:val="auto"/>
          <w:sz w:val="28"/>
          <w:szCs w:val="28"/>
        </w:rPr>
      </w:pPr>
      <w:r>
        <w:rPr>
          <w:rFonts w:hint="eastAsia"/>
          <w:b/>
          <w:color w:val="auto"/>
          <w:sz w:val="28"/>
          <w:szCs w:val="28"/>
        </w:rPr>
        <w:t>表一 固定课题选题列表</w:t>
      </w:r>
    </w:p>
    <w:tbl>
      <w:tblPr>
        <w:tblStyle w:val="11"/>
        <w:tblW w:w="95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49"/>
        <w:gridCol w:w="2390"/>
        <w:gridCol w:w="6035"/>
      </w:tblGrid>
      <w:tr w14:paraId="6B59A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1149" w:type="dxa"/>
            <w:tcBorders>
              <w:top w:val="single" w:color="auto" w:sz="4" w:space="0"/>
              <w:left w:val="single" w:color="auto" w:sz="4" w:space="0"/>
              <w:bottom w:val="single" w:color="auto" w:sz="4" w:space="0"/>
              <w:right w:val="single" w:color="auto" w:sz="4" w:space="0"/>
            </w:tcBorders>
            <w:shd w:val="clear" w:color="auto" w:fill="BFBFBF"/>
            <w:vAlign w:val="center"/>
          </w:tcPr>
          <w:p w14:paraId="351CFDDC">
            <w:pPr>
              <w:keepNext w:val="0"/>
              <w:keepLines w:val="0"/>
              <w:pageBreakBefore w:val="0"/>
              <w:widowControl/>
              <w:kinsoku/>
              <w:wordWrap/>
              <w:overflowPunct/>
              <w:topLinePunct w:val="0"/>
              <w:autoSpaceDE/>
              <w:autoSpaceDN/>
              <w:bidi w:val="0"/>
              <w:adjustRightInd/>
              <w:snapToGrid/>
              <w:spacing w:line="240" w:lineRule="auto"/>
              <w:ind w:firstLine="19" w:firstLineChars="9"/>
              <w:jc w:val="center"/>
              <w:textAlignment w:val="auto"/>
              <w:rPr>
                <w:rFonts w:cs="Times New Roman"/>
                <w:b/>
                <w:color w:val="auto"/>
                <w:szCs w:val="21"/>
              </w:rPr>
            </w:pPr>
            <w:r>
              <w:rPr>
                <w:rFonts w:hint="default" w:cs="Times New Roman"/>
                <w:b/>
                <w:color w:val="auto"/>
                <w:szCs w:val="21"/>
              </w:rPr>
              <w:t>方向编号</w:t>
            </w:r>
          </w:p>
        </w:tc>
        <w:tc>
          <w:tcPr>
            <w:tcW w:w="2390" w:type="dxa"/>
            <w:tcBorders>
              <w:top w:val="single" w:color="auto" w:sz="4" w:space="0"/>
              <w:left w:val="single" w:color="auto" w:sz="4" w:space="0"/>
              <w:bottom w:val="single" w:color="auto" w:sz="4" w:space="0"/>
              <w:right w:val="single" w:color="auto" w:sz="4" w:space="0"/>
            </w:tcBorders>
            <w:shd w:val="clear" w:color="auto" w:fill="BFBFBF"/>
            <w:noWrap/>
            <w:vAlign w:val="center"/>
          </w:tcPr>
          <w:p w14:paraId="5615693E">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cs="Times New Roman"/>
                <w:b/>
                <w:color w:val="auto"/>
                <w:szCs w:val="21"/>
              </w:rPr>
            </w:pPr>
            <w:r>
              <w:rPr>
                <w:rFonts w:hint="default" w:cs="Times New Roman"/>
                <w:b/>
                <w:color w:val="auto"/>
                <w:szCs w:val="21"/>
              </w:rPr>
              <w:t>课题方向</w:t>
            </w:r>
          </w:p>
        </w:tc>
        <w:tc>
          <w:tcPr>
            <w:tcW w:w="6035" w:type="dxa"/>
            <w:tcBorders>
              <w:top w:val="single" w:color="auto" w:sz="4" w:space="0"/>
              <w:left w:val="single" w:color="auto" w:sz="4" w:space="0"/>
              <w:bottom w:val="single" w:color="auto" w:sz="4" w:space="0"/>
              <w:right w:val="single" w:color="auto" w:sz="4" w:space="0"/>
            </w:tcBorders>
            <w:shd w:val="clear" w:color="auto" w:fill="BFBFBF"/>
            <w:noWrap/>
            <w:vAlign w:val="center"/>
          </w:tcPr>
          <w:p w14:paraId="3A80B11A">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cs="Times New Roman"/>
                <w:b/>
                <w:color w:val="auto"/>
                <w:szCs w:val="21"/>
              </w:rPr>
            </w:pPr>
            <w:r>
              <w:rPr>
                <w:rFonts w:hint="default" w:cs="Times New Roman"/>
                <w:b/>
                <w:color w:val="auto"/>
                <w:szCs w:val="21"/>
              </w:rPr>
              <w:t>课题研究内容</w:t>
            </w:r>
          </w:p>
        </w:tc>
      </w:tr>
      <w:tr w14:paraId="3A87A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14:paraId="2DE35E8F">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21" w:firstLineChars="9"/>
              <w:jc w:val="center"/>
              <w:textAlignment w:val="auto"/>
              <w:rPr>
                <w:rFonts w:cs="Times New Roman" w:eastAsiaTheme="minorEastAsia"/>
                <w:color w:val="auto"/>
                <w:sz w:val="24"/>
                <w:szCs w:val="24"/>
              </w:rPr>
            </w:pPr>
            <w:r>
              <w:rPr>
                <w:rFonts w:hint="default" w:cs="Times New Roman" w:eastAsiaTheme="minorEastAsia"/>
                <w:color w:val="auto"/>
                <w:sz w:val="24"/>
                <w:szCs w:val="24"/>
              </w:rPr>
              <w:t>A01</w:t>
            </w:r>
          </w:p>
        </w:tc>
        <w:tc>
          <w:tcPr>
            <w:tcW w:w="2390" w:type="dxa"/>
            <w:tcBorders>
              <w:top w:val="single" w:color="auto" w:sz="4" w:space="0"/>
              <w:left w:val="single" w:color="auto" w:sz="4" w:space="0"/>
              <w:bottom w:val="single" w:color="auto" w:sz="4" w:space="0"/>
              <w:right w:val="single" w:color="auto" w:sz="4" w:space="0"/>
            </w:tcBorders>
            <w:noWrap/>
            <w:vAlign w:val="center"/>
          </w:tcPr>
          <w:p w14:paraId="6CACEB6D">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cs="Times New Roman" w:eastAsiaTheme="minorEastAsia"/>
                <w:color w:val="auto"/>
                <w:sz w:val="24"/>
                <w:szCs w:val="24"/>
              </w:rPr>
            </w:pPr>
            <w:r>
              <w:rPr>
                <w:rFonts w:hint="default" w:cs="Times New Roman" w:eastAsiaTheme="minorEastAsia"/>
                <w:color w:val="auto"/>
                <w:sz w:val="24"/>
                <w:szCs w:val="24"/>
              </w:rPr>
              <w:t>免疫：新型感染标志物在感染性疾病、</w:t>
            </w:r>
            <w:r>
              <w:rPr>
                <w:rFonts w:hint="default" w:cs="Times New Roman" w:eastAsiaTheme="minorEastAsia"/>
                <w:color w:val="auto"/>
                <w:sz w:val="24"/>
                <w:szCs w:val="24"/>
                <w:lang w:val="en-US" w:eastAsia="zh-CN"/>
              </w:rPr>
              <w:t>自身免疫性疾病诊断、</w:t>
            </w:r>
            <w:r>
              <w:rPr>
                <w:rFonts w:hint="default" w:cs="Times New Roman" w:eastAsiaTheme="minorEastAsia"/>
                <w:color w:val="auto"/>
                <w:sz w:val="24"/>
                <w:szCs w:val="24"/>
              </w:rPr>
              <w:t>用药及预后</w:t>
            </w:r>
            <w:r>
              <w:rPr>
                <w:rFonts w:hint="default" w:cs="Times New Roman" w:eastAsiaTheme="minorEastAsia"/>
                <w:color w:val="auto"/>
                <w:sz w:val="24"/>
                <w:szCs w:val="24"/>
                <w:lang w:val="en-US" w:eastAsia="zh-CN"/>
              </w:rPr>
              <w:t>中</w:t>
            </w:r>
            <w:r>
              <w:rPr>
                <w:rFonts w:hint="default" w:cs="Times New Roman" w:eastAsiaTheme="minorEastAsia"/>
                <w:color w:val="auto"/>
                <w:sz w:val="24"/>
                <w:szCs w:val="24"/>
              </w:rPr>
              <w:t>的临床应用研究</w:t>
            </w:r>
          </w:p>
        </w:tc>
        <w:tc>
          <w:tcPr>
            <w:tcW w:w="6035" w:type="dxa"/>
            <w:tcBorders>
              <w:top w:val="single" w:color="auto" w:sz="4" w:space="0"/>
              <w:left w:val="single" w:color="auto" w:sz="4" w:space="0"/>
              <w:bottom w:val="single" w:color="auto" w:sz="4" w:space="0"/>
              <w:right w:val="single" w:color="auto" w:sz="4" w:space="0"/>
            </w:tcBorders>
            <w:noWrap/>
            <w:vAlign w:val="center"/>
          </w:tcPr>
          <w:p w14:paraId="33DB0804">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cs="Times New Roman" w:eastAsiaTheme="minorEastAsia"/>
                <w:color w:val="auto"/>
                <w:sz w:val="24"/>
                <w:szCs w:val="24"/>
              </w:rPr>
            </w:pPr>
            <w:r>
              <w:rPr>
                <w:rFonts w:hint="default" w:cs="Times New Roman" w:eastAsiaTheme="minorEastAsia"/>
                <w:color w:val="auto"/>
                <w:sz w:val="24"/>
                <w:szCs w:val="24"/>
              </w:rPr>
              <w:t>本研究基于新型化学发光法检测的感染标志物在感染性疾病</w:t>
            </w:r>
            <w:r>
              <w:rPr>
                <w:rFonts w:hint="default" w:cs="Times New Roman" w:eastAsiaTheme="minorEastAsia"/>
                <w:color w:val="auto"/>
                <w:sz w:val="24"/>
                <w:szCs w:val="24"/>
                <w:lang w:eastAsia="zh-CN"/>
              </w:rPr>
              <w:t>、</w:t>
            </w:r>
            <w:r>
              <w:rPr>
                <w:rFonts w:hint="default" w:cs="Times New Roman" w:eastAsiaTheme="minorEastAsia"/>
                <w:color w:val="auto"/>
                <w:sz w:val="24"/>
                <w:szCs w:val="24"/>
                <w:lang w:val="en-US" w:eastAsia="zh-CN"/>
              </w:rPr>
              <w:t>自身免疫性疾病</w:t>
            </w:r>
            <w:r>
              <w:rPr>
                <w:rFonts w:hint="default" w:cs="Times New Roman" w:eastAsiaTheme="minorEastAsia"/>
                <w:color w:val="auto"/>
                <w:sz w:val="24"/>
                <w:szCs w:val="24"/>
              </w:rPr>
              <w:t>诊断、用药及预后的临床应用价值，并验证其临床诊疗及预后的价值，</w:t>
            </w:r>
            <w:r>
              <w:rPr>
                <w:rFonts w:hint="default" w:cs="Times New Roman" w:eastAsiaTheme="minorEastAsia"/>
                <w:color w:val="auto"/>
                <w:sz w:val="24"/>
                <w:szCs w:val="24"/>
                <w:lang w:val="en-US" w:eastAsia="zh-CN"/>
              </w:rPr>
              <w:t>评估</w:t>
            </w:r>
            <w:r>
              <w:rPr>
                <w:rFonts w:hint="default" w:cs="Times New Roman" w:eastAsiaTheme="minorEastAsia"/>
                <w:color w:val="auto"/>
                <w:sz w:val="24"/>
                <w:szCs w:val="24"/>
              </w:rPr>
              <w:t>感染标志物在诊断准确性、敏感性和特异性等方面的</w:t>
            </w:r>
            <w:r>
              <w:rPr>
                <w:rFonts w:hint="default" w:cs="Times New Roman" w:eastAsiaTheme="minorEastAsia"/>
                <w:color w:val="auto"/>
                <w:sz w:val="24"/>
                <w:szCs w:val="24"/>
                <w:lang w:val="en-US" w:eastAsia="zh-CN"/>
              </w:rPr>
              <w:t>优势</w:t>
            </w:r>
            <w:r>
              <w:rPr>
                <w:rFonts w:hint="default" w:cs="Times New Roman" w:eastAsiaTheme="minorEastAsia"/>
                <w:color w:val="auto"/>
                <w:sz w:val="24"/>
                <w:szCs w:val="24"/>
              </w:rPr>
              <w:t>，以及在治疗效果及预后评估等方面的价值，构建基于新型感染标志物的诊断及预后评估模型，为临床决策提供依据。</w:t>
            </w:r>
          </w:p>
        </w:tc>
      </w:tr>
      <w:tr w14:paraId="26947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14:paraId="6A24CC98">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21" w:firstLineChars="9"/>
              <w:jc w:val="center"/>
              <w:textAlignment w:val="auto"/>
              <w:rPr>
                <w:rFonts w:cs="Times New Roman" w:eastAsiaTheme="minorEastAsia"/>
                <w:color w:val="auto"/>
                <w:sz w:val="24"/>
                <w:szCs w:val="24"/>
              </w:rPr>
            </w:pPr>
            <w:r>
              <w:rPr>
                <w:rFonts w:hint="default" w:cs="Times New Roman" w:eastAsiaTheme="minorEastAsia"/>
                <w:color w:val="auto"/>
                <w:sz w:val="24"/>
                <w:szCs w:val="24"/>
              </w:rPr>
              <w:t>A02</w:t>
            </w:r>
          </w:p>
        </w:tc>
        <w:tc>
          <w:tcPr>
            <w:tcW w:w="2390" w:type="dxa"/>
            <w:tcBorders>
              <w:top w:val="single" w:color="auto" w:sz="4" w:space="0"/>
              <w:left w:val="single" w:color="auto" w:sz="4" w:space="0"/>
              <w:bottom w:val="single" w:color="auto" w:sz="4" w:space="0"/>
              <w:right w:val="single" w:color="auto" w:sz="4" w:space="0"/>
            </w:tcBorders>
            <w:noWrap/>
            <w:vAlign w:val="center"/>
          </w:tcPr>
          <w:p w14:paraId="71D6AF4C">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cs="Times New Roman" w:eastAsiaTheme="minorEastAsia"/>
                <w:color w:val="auto"/>
                <w:sz w:val="24"/>
                <w:szCs w:val="24"/>
              </w:rPr>
            </w:pPr>
            <w:r>
              <w:rPr>
                <w:rFonts w:hint="default" w:cs="Times New Roman" w:eastAsiaTheme="minorEastAsia"/>
                <w:color w:val="auto"/>
                <w:sz w:val="24"/>
                <w:szCs w:val="24"/>
              </w:rPr>
              <w:t>免疫：新型传染性疾病标志物在传染病诊断、用药及预后的临床应用研究</w:t>
            </w:r>
          </w:p>
        </w:tc>
        <w:tc>
          <w:tcPr>
            <w:tcW w:w="6035" w:type="dxa"/>
            <w:tcBorders>
              <w:top w:val="single" w:color="auto" w:sz="4" w:space="0"/>
              <w:left w:val="single" w:color="auto" w:sz="4" w:space="0"/>
              <w:bottom w:val="single" w:color="auto" w:sz="4" w:space="0"/>
              <w:right w:val="single" w:color="auto" w:sz="4" w:space="0"/>
            </w:tcBorders>
            <w:noWrap/>
            <w:vAlign w:val="center"/>
          </w:tcPr>
          <w:p w14:paraId="50C93518">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cs="Times New Roman" w:eastAsiaTheme="minorEastAsia"/>
                <w:color w:val="auto"/>
                <w:sz w:val="24"/>
                <w:szCs w:val="24"/>
              </w:rPr>
            </w:pPr>
            <w:r>
              <w:rPr>
                <w:rFonts w:hint="default" w:cs="Times New Roman" w:eastAsiaTheme="minorEastAsia"/>
                <w:color w:val="auto"/>
                <w:sz w:val="24"/>
                <w:szCs w:val="24"/>
              </w:rPr>
              <w:t>本研究围绕传染性疾病患者全程管理的临床诊疗需求，通过新型传染性疾病标志物（HBcrAg等）与其他标志物联合建立诊断、停药后复发及并发症发生的预测模型，对患者进行风险分层，辅助决策患者是否需要接受针对性治疗及评估患者的治疗效果；为停药决策提供精准判断依据。</w:t>
            </w:r>
          </w:p>
        </w:tc>
      </w:tr>
      <w:tr w14:paraId="6E5E1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14:paraId="550E34B7">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21" w:firstLineChars="9"/>
              <w:jc w:val="center"/>
              <w:textAlignment w:val="auto"/>
              <w:rPr>
                <w:rFonts w:cs="Times New Roman" w:eastAsiaTheme="minorEastAsia"/>
                <w:color w:val="auto"/>
                <w:sz w:val="24"/>
                <w:szCs w:val="24"/>
              </w:rPr>
            </w:pPr>
            <w:r>
              <w:rPr>
                <w:rFonts w:hint="default" w:cs="Times New Roman" w:eastAsiaTheme="minorEastAsia"/>
                <w:color w:val="auto"/>
                <w:sz w:val="24"/>
                <w:szCs w:val="24"/>
              </w:rPr>
              <w:t>A03</w:t>
            </w:r>
          </w:p>
        </w:tc>
        <w:tc>
          <w:tcPr>
            <w:tcW w:w="2390" w:type="dxa"/>
            <w:tcBorders>
              <w:top w:val="single" w:color="auto" w:sz="4" w:space="0"/>
              <w:left w:val="single" w:color="auto" w:sz="4" w:space="0"/>
              <w:bottom w:val="single" w:color="auto" w:sz="4" w:space="0"/>
              <w:right w:val="single" w:color="auto" w:sz="4" w:space="0"/>
            </w:tcBorders>
            <w:noWrap/>
            <w:vAlign w:val="center"/>
          </w:tcPr>
          <w:p w14:paraId="22607770">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rPr>
              <w:t>免疫：肿瘤标志物在肿瘤疾病中预防、诊断、疗效及预后的临床应用研究</w:t>
            </w:r>
            <w:r>
              <w:rPr>
                <w:rFonts w:hint="default" w:cs="Times New Roman" w:eastAsiaTheme="minorEastAsia"/>
                <w:color w:val="auto"/>
                <w:sz w:val="24"/>
                <w:szCs w:val="24"/>
                <w:lang w:eastAsia="zh-CN"/>
              </w:rPr>
              <w:t>。</w:t>
            </w:r>
            <w:r>
              <w:rPr>
                <w:rFonts w:hint="default" w:cs="Times New Roman" w:eastAsiaTheme="minorEastAsia"/>
                <w:color w:val="auto"/>
                <w:sz w:val="24"/>
                <w:szCs w:val="24"/>
                <w:lang w:val="en-US" w:eastAsia="zh-CN"/>
              </w:rPr>
              <w:t>或肿瘤标志物在非肿瘤疾病中的应用探索。</w:t>
            </w:r>
          </w:p>
        </w:tc>
        <w:tc>
          <w:tcPr>
            <w:tcW w:w="6035" w:type="dxa"/>
            <w:tcBorders>
              <w:top w:val="single" w:color="auto" w:sz="4" w:space="0"/>
              <w:left w:val="single" w:color="auto" w:sz="4" w:space="0"/>
              <w:bottom w:val="single" w:color="auto" w:sz="4" w:space="0"/>
              <w:right w:val="single" w:color="auto" w:sz="4" w:space="0"/>
            </w:tcBorders>
            <w:noWrap/>
            <w:vAlign w:val="center"/>
          </w:tcPr>
          <w:p w14:paraId="7997472E">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cs="Times New Roman" w:eastAsiaTheme="minorEastAsia"/>
                <w:color w:val="auto"/>
                <w:sz w:val="24"/>
                <w:szCs w:val="24"/>
              </w:rPr>
            </w:pPr>
            <w:r>
              <w:rPr>
                <w:rFonts w:hint="default" w:cs="Times New Roman" w:eastAsiaTheme="minorEastAsia"/>
                <w:color w:val="auto"/>
                <w:sz w:val="24"/>
                <w:szCs w:val="24"/>
              </w:rPr>
              <w:t>本研究围绕我国肿瘤患者全程管理的临床诊疗需求，探讨化学发光法检测的肿瘤新标志物的病理、生理影响因素和检测干扰因素，确定利用肿瘤标志物开展肿瘤筛查的指征、参考范围和诊断价值，为实现我国肿瘤患者的早期诊断和精准治疗提供新依据</w:t>
            </w:r>
            <w:r>
              <w:rPr>
                <w:rFonts w:hint="default" w:cs="Times New Roman" w:eastAsiaTheme="minorEastAsia"/>
                <w:color w:val="auto"/>
                <w:sz w:val="24"/>
                <w:szCs w:val="24"/>
                <w:lang w:eastAsia="zh-CN"/>
              </w:rPr>
              <w:t>。</w:t>
            </w:r>
            <w:r>
              <w:rPr>
                <w:rFonts w:hint="default" w:cs="Times New Roman" w:eastAsiaTheme="minorEastAsia"/>
                <w:color w:val="auto"/>
                <w:sz w:val="24"/>
                <w:szCs w:val="24"/>
                <w:lang w:val="en-US" w:eastAsia="zh-CN"/>
              </w:rPr>
              <w:t>或开展肿瘤标志物在非肿瘤疾病中的探索应用。</w:t>
            </w:r>
          </w:p>
        </w:tc>
      </w:tr>
      <w:tr w14:paraId="64016C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14:paraId="25B20F60">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21" w:firstLineChars="9"/>
              <w:jc w:val="center"/>
              <w:textAlignment w:val="auto"/>
              <w:rPr>
                <w:rFonts w:cs="Times New Roman" w:eastAsiaTheme="minorEastAsia"/>
                <w:color w:val="auto"/>
                <w:sz w:val="24"/>
                <w:szCs w:val="24"/>
              </w:rPr>
            </w:pPr>
            <w:r>
              <w:rPr>
                <w:rFonts w:hint="default" w:cs="Times New Roman" w:eastAsiaTheme="minorEastAsia"/>
                <w:color w:val="auto"/>
                <w:sz w:val="24"/>
                <w:szCs w:val="24"/>
              </w:rPr>
              <w:t>A04</w:t>
            </w:r>
          </w:p>
        </w:tc>
        <w:tc>
          <w:tcPr>
            <w:tcW w:w="2390" w:type="dxa"/>
            <w:tcBorders>
              <w:top w:val="single" w:color="auto" w:sz="4" w:space="0"/>
              <w:left w:val="single" w:color="auto" w:sz="4" w:space="0"/>
              <w:bottom w:val="single" w:color="auto" w:sz="4" w:space="0"/>
              <w:right w:val="single" w:color="auto" w:sz="4" w:space="0"/>
            </w:tcBorders>
            <w:noWrap/>
            <w:vAlign w:val="center"/>
          </w:tcPr>
          <w:p w14:paraId="50EF411C">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cs="Times New Roman" w:eastAsiaTheme="minorEastAsia"/>
                <w:sz w:val="24"/>
                <w:szCs w:val="24"/>
              </w:rPr>
            </w:pPr>
            <w:r>
              <w:rPr>
                <w:rFonts w:hint="default" w:cs="Times New Roman" w:eastAsiaTheme="minorEastAsia"/>
                <w:sz w:val="24"/>
                <w:szCs w:val="24"/>
              </w:rPr>
              <w:t>免疫：临床多疾病场景下甲状腺疾病精准筛查及病情评估</w:t>
            </w:r>
          </w:p>
        </w:tc>
        <w:tc>
          <w:tcPr>
            <w:tcW w:w="6035" w:type="dxa"/>
            <w:tcBorders>
              <w:top w:val="single" w:color="auto" w:sz="4" w:space="0"/>
              <w:left w:val="single" w:color="auto" w:sz="4" w:space="0"/>
              <w:bottom w:val="single" w:color="auto" w:sz="4" w:space="0"/>
              <w:right w:val="single" w:color="auto" w:sz="4" w:space="0"/>
            </w:tcBorders>
            <w:noWrap/>
            <w:vAlign w:val="center"/>
          </w:tcPr>
          <w:p w14:paraId="3028186B">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cs="Times New Roman" w:eastAsiaTheme="minorEastAsia"/>
                <w:sz w:val="24"/>
                <w:szCs w:val="24"/>
              </w:rPr>
            </w:pPr>
            <w:r>
              <w:rPr>
                <w:rFonts w:hint="default" w:cs="Times New Roman" w:eastAsiaTheme="minorEastAsia"/>
                <w:sz w:val="24"/>
                <w:szCs w:val="24"/>
              </w:rPr>
              <w:t>本研究将分析现有的甲状腺疾病筛查方法的优缺点及适用范围，包括血清甲状腺激素水平检测、甲状腺超声检查、细针穿刺活检等，并在此基础上探索新型的筛查方法以期提高甲状腺疾病的筛查精度和效率。同时围绕不同人群及疾病场景下甲状腺疾病全程管理的临床诊疗需求，构建基于多模态数据的甲状腺疾病诊断模型，并进一步研究甲状腺疾病的病情评估体系，包括评估指标的选取、评估标准的制定以及评估方法的优化。同时探索将病情评估与患者的生活质量、预后等因素相结合，以提供全面的病情评估结果。并通过分析大量甲状腺疾病患者的数据，构建基于大数据的预测模型，以预测患者的疾病发展趋势、治疗效果、参考值制定和共识指南的修订等提供参考依据。</w:t>
            </w:r>
          </w:p>
        </w:tc>
      </w:tr>
      <w:tr w14:paraId="6BA112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14:paraId="68ADE577">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21" w:firstLineChars="9"/>
              <w:jc w:val="center"/>
              <w:textAlignment w:val="auto"/>
              <w:rPr>
                <w:rFonts w:cs="Times New Roman" w:eastAsiaTheme="minorEastAsia"/>
                <w:color w:val="auto"/>
                <w:sz w:val="24"/>
                <w:szCs w:val="24"/>
              </w:rPr>
            </w:pPr>
            <w:r>
              <w:rPr>
                <w:rFonts w:hint="default" w:cs="Times New Roman" w:eastAsiaTheme="minorEastAsia"/>
                <w:color w:val="auto"/>
                <w:sz w:val="24"/>
                <w:szCs w:val="24"/>
              </w:rPr>
              <w:t>A05</w:t>
            </w:r>
          </w:p>
        </w:tc>
        <w:tc>
          <w:tcPr>
            <w:tcW w:w="2390" w:type="dxa"/>
            <w:tcBorders>
              <w:top w:val="single" w:color="auto" w:sz="4" w:space="0"/>
              <w:left w:val="single" w:color="auto" w:sz="4" w:space="0"/>
              <w:bottom w:val="single" w:color="auto" w:sz="4" w:space="0"/>
              <w:right w:val="single" w:color="auto" w:sz="4" w:space="0"/>
            </w:tcBorders>
            <w:noWrap/>
            <w:vAlign w:val="center"/>
          </w:tcPr>
          <w:p w14:paraId="5C08BC5F">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cs="Times New Roman" w:eastAsiaTheme="minorEastAsia"/>
                <w:color w:val="auto"/>
                <w:sz w:val="24"/>
                <w:szCs w:val="24"/>
              </w:rPr>
            </w:pPr>
            <w:r>
              <w:rPr>
                <w:rFonts w:hint="default" w:cs="Times New Roman" w:eastAsiaTheme="minorEastAsia"/>
                <w:color w:val="auto"/>
                <w:sz w:val="24"/>
                <w:szCs w:val="24"/>
              </w:rPr>
              <w:t>免疫：内分泌激素在生长发育或妊娠相关疾病的诊疗价值研究</w:t>
            </w:r>
          </w:p>
        </w:tc>
        <w:tc>
          <w:tcPr>
            <w:tcW w:w="6035" w:type="dxa"/>
            <w:tcBorders>
              <w:top w:val="single" w:color="auto" w:sz="4" w:space="0"/>
              <w:left w:val="single" w:color="auto" w:sz="4" w:space="0"/>
              <w:bottom w:val="single" w:color="auto" w:sz="4" w:space="0"/>
              <w:right w:val="single" w:color="auto" w:sz="4" w:space="0"/>
            </w:tcBorders>
            <w:noWrap/>
            <w:vAlign w:val="center"/>
          </w:tcPr>
          <w:p w14:paraId="2030B6BA">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cs="Times New Roman" w:eastAsiaTheme="minorEastAsia"/>
                <w:sz w:val="24"/>
                <w:szCs w:val="24"/>
              </w:rPr>
            </w:pPr>
            <w:r>
              <w:rPr>
                <w:rFonts w:hint="default" w:cs="Times New Roman" w:eastAsiaTheme="minorEastAsia"/>
                <w:sz w:val="24"/>
                <w:szCs w:val="24"/>
              </w:rPr>
              <w:t>本研究围绕特定人群（包括新生儿、婴幼儿、青少年及孕妇）在生长发育或妊娠相关疾病的诊疗需求，深入探讨生长发育相关内分泌激素在儿童生长发育及妊娠阶段生理学、病理生理学的变化因素以及免疫检测方法学特异性的影响因素，最终确定相关疾病标志物的检测指征、诊断效能、参考范围及诊断价值，为妊娠期和儿童生长发育阶段的内分泌失调的早期诊断和个体化治疗提供科学依据。</w:t>
            </w:r>
          </w:p>
        </w:tc>
      </w:tr>
      <w:tr w14:paraId="0195C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14:paraId="734F303D">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21" w:firstLineChars="9"/>
              <w:jc w:val="center"/>
              <w:textAlignment w:val="auto"/>
              <w:rPr>
                <w:rFonts w:cs="Times New Roman" w:eastAsiaTheme="minorEastAsia"/>
                <w:color w:val="auto"/>
                <w:sz w:val="24"/>
                <w:szCs w:val="24"/>
              </w:rPr>
            </w:pPr>
            <w:r>
              <w:rPr>
                <w:rFonts w:hint="default" w:cs="Times New Roman" w:eastAsiaTheme="minorEastAsia"/>
                <w:color w:val="auto"/>
                <w:sz w:val="24"/>
                <w:szCs w:val="24"/>
              </w:rPr>
              <w:t>A06</w:t>
            </w:r>
          </w:p>
        </w:tc>
        <w:tc>
          <w:tcPr>
            <w:tcW w:w="2390" w:type="dxa"/>
            <w:tcBorders>
              <w:top w:val="single" w:color="auto" w:sz="4" w:space="0"/>
              <w:left w:val="single" w:color="auto" w:sz="4" w:space="0"/>
              <w:bottom w:val="single" w:color="auto" w:sz="4" w:space="0"/>
              <w:right w:val="single" w:color="auto" w:sz="4" w:space="0"/>
            </w:tcBorders>
            <w:noWrap/>
            <w:vAlign w:val="center"/>
          </w:tcPr>
          <w:p w14:paraId="1EA53753">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cs="Times New Roman" w:eastAsiaTheme="minorEastAsia"/>
                <w:color w:val="auto"/>
                <w:sz w:val="24"/>
                <w:szCs w:val="24"/>
              </w:rPr>
            </w:pPr>
            <w:r>
              <w:rPr>
                <w:rFonts w:hint="default" w:cs="Times New Roman" w:eastAsiaTheme="minorEastAsia"/>
                <w:color w:val="auto"/>
                <w:sz w:val="24"/>
                <w:szCs w:val="24"/>
              </w:rPr>
              <w:t>免疫：心脏标志物在心血管疾病风险预测、诊断、疗效与预后评估的应用研究</w:t>
            </w:r>
          </w:p>
        </w:tc>
        <w:tc>
          <w:tcPr>
            <w:tcW w:w="6035" w:type="dxa"/>
            <w:tcBorders>
              <w:top w:val="single" w:color="auto" w:sz="4" w:space="0"/>
              <w:left w:val="single" w:color="auto" w:sz="4" w:space="0"/>
              <w:bottom w:val="single" w:color="auto" w:sz="4" w:space="0"/>
              <w:right w:val="single" w:color="auto" w:sz="4" w:space="0"/>
            </w:tcBorders>
            <w:noWrap/>
            <w:vAlign w:val="center"/>
          </w:tcPr>
          <w:p w14:paraId="33135B87">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eastAsia="zh-CN"/>
              </w:rPr>
            </w:pPr>
            <w:r>
              <w:rPr>
                <w:rFonts w:hint="default" w:cs="Times New Roman" w:eastAsiaTheme="minorEastAsia"/>
                <w:color w:val="auto"/>
                <w:sz w:val="24"/>
                <w:szCs w:val="24"/>
              </w:rPr>
              <w:t>本研究探讨心脏标志（hs-cTnI等）在高血压、糖尿病、慢性肾病、高脂血症</w:t>
            </w:r>
            <w:r>
              <w:rPr>
                <w:rFonts w:hint="default" w:cs="Times New Roman" w:eastAsiaTheme="minorEastAsia"/>
                <w:color w:val="auto"/>
                <w:sz w:val="24"/>
                <w:szCs w:val="24"/>
                <w:lang w:eastAsia="zh-CN"/>
              </w:rPr>
              <w:t>、</w:t>
            </w:r>
            <w:r>
              <w:rPr>
                <w:rFonts w:hint="default" w:cs="Times New Roman" w:eastAsiaTheme="minorEastAsia"/>
                <w:color w:val="auto"/>
                <w:sz w:val="24"/>
                <w:szCs w:val="24"/>
                <w:lang w:val="en-US" w:eastAsia="zh-CN"/>
              </w:rPr>
              <w:t>感染性疾病、急重症</w:t>
            </w:r>
            <w:r>
              <w:rPr>
                <w:rFonts w:hint="default" w:cs="Times New Roman" w:eastAsiaTheme="minorEastAsia"/>
                <w:color w:val="auto"/>
                <w:sz w:val="24"/>
                <w:szCs w:val="24"/>
              </w:rPr>
              <w:t>等患者中发生不良心血管事件的筛查指征、参考范围、诊断价值，为优化不同人群心血管事件的预测、诊断、疗效与预后评估提供科学依据</w:t>
            </w:r>
            <w:r>
              <w:rPr>
                <w:rFonts w:hint="default" w:cs="Times New Roman" w:eastAsiaTheme="minorEastAsia"/>
                <w:color w:val="auto"/>
                <w:sz w:val="24"/>
                <w:szCs w:val="24"/>
                <w:lang w:eastAsia="zh-CN"/>
              </w:rPr>
              <w:t>。</w:t>
            </w:r>
          </w:p>
        </w:tc>
      </w:tr>
      <w:tr w14:paraId="36C1D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14:paraId="7358614E">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21" w:firstLineChars="9"/>
              <w:jc w:val="center"/>
              <w:textAlignment w:val="auto"/>
              <w:rPr>
                <w:rFonts w:cs="Times New Roman" w:eastAsiaTheme="minorEastAsia"/>
                <w:color w:val="auto"/>
                <w:sz w:val="24"/>
                <w:szCs w:val="24"/>
              </w:rPr>
            </w:pPr>
            <w:r>
              <w:rPr>
                <w:rFonts w:hint="default" w:cs="Times New Roman" w:eastAsiaTheme="minorEastAsia"/>
                <w:color w:val="auto"/>
                <w:sz w:val="24"/>
                <w:szCs w:val="24"/>
              </w:rPr>
              <w:t>A07</w:t>
            </w:r>
          </w:p>
        </w:tc>
        <w:tc>
          <w:tcPr>
            <w:tcW w:w="2390" w:type="dxa"/>
            <w:tcBorders>
              <w:top w:val="single" w:color="auto" w:sz="4" w:space="0"/>
              <w:left w:val="single" w:color="auto" w:sz="4" w:space="0"/>
              <w:bottom w:val="single" w:color="auto" w:sz="4" w:space="0"/>
              <w:right w:val="single" w:color="auto" w:sz="4" w:space="0"/>
            </w:tcBorders>
            <w:noWrap/>
            <w:vAlign w:val="center"/>
          </w:tcPr>
          <w:p w14:paraId="676F7439">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cs="Times New Roman" w:eastAsiaTheme="minorEastAsia"/>
                <w:color w:val="auto"/>
                <w:sz w:val="24"/>
                <w:szCs w:val="24"/>
              </w:rPr>
            </w:pPr>
            <w:r>
              <w:rPr>
                <w:rFonts w:hint="default" w:cs="Times New Roman" w:eastAsiaTheme="minorEastAsia"/>
                <w:color w:val="auto"/>
                <w:sz w:val="24"/>
                <w:szCs w:val="24"/>
              </w:rPr>
              <w:t>凝血：易栓症标志物的诊断效能研究</w:t>
            </w:r>
          </w:p>
        </w:tc>
        <w:tc>
          <w:tcPr>
            <w:tcW w:w="6035" w:type="dxa"/>
            <w:tcBorders>
              <w:top w:val="single" w:color="auto" w:sz="4" w:space="0"/>
              <w:left w:val="single" w:color="auto" w:sz="4" w:space="0"/>
              <w:bottom w:val="single" w:color="auto" w:sz="4" w:space="0"/>
              <w:right w:val="single" w:color="auto" w:sz="4" w:space="0"/>
            </w:tcBorders>
            <w:noWrap/>
            <w:vAlign w:val="center"/>
          </w:tcPr>
          <w:p w14:paraId="199E2CE2">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eastAsia="zh-CN"/>
              </w:rPr>
            </w:pPr>
            <w:r>
              <w:rPr>
                <w:rFonts w:hint="default" w:cs="Times New Roman" w:eastAsiaTheme="minorEastAsia"/>
                <w:color w:val="auto"/>
                <w:sz w:val="24"/>
                <w:szCs w:val="24"/>
              </w:rPr>
              <w:t>本研究以血栓高风险人群（包含妊娠期、抗磷脂综合征患者、复发性流产患者、</w:t>
            </w:r>
            <w:r>
              <w:rPr>
                <w:rFonts w:hint="default" w:cs="Times New Roman" w:eastAsiaTheme="minorEastAsia"/>
                <w:color w:val="auto"/>
                <w:sz w:val="24"/>
                <w:szCs w:val="24"/>
                <w:lang w:val="en-US" w:eastAsia="zh-CN"/>
              </w:rPr>
              <w:t>多发性骨髓瘤、</w:t>
            </w:r>
            <w:r>
              <w:rPr>
                <w:rFonts w:hint="default" w:cs="Times New Roman" w:eastAsiaTheme="minorEastAsia"/>
                <w:color w:val="auto"/>
                <w:sz w:val="24"/>
                <w:szCs w:val="24"/>
              </w:rPr>
              <w:t>不明原因动静脉血栓患者或少见部位血栓患者等）为研究对象，探讨凝血</w:t>
            </w:r>
            <w:r>
              <w:rPr>
                <w:rFonts w:hint="default" w:cs="Times New Roman" w:eastAsiaTheme="minorEastAsia"/>
                <w:color w:val="auto"/>
                <w:sz w:val="24"/>
                <w:szCs w:val="24"/>
                <w:lang w:eastAsia="zh-CN"/>
              </w:rPr>
              <w:t>，</w:t>
            </w:r>
            <w:r>
              <w:rPr>
                <w:rFonts w:hint="default" w:cs="Times New Roman" w:eastAsiaTheme="minorEastAsia"/>
                <w:color w:val="auto"/>
                <w:sz w:val="24"/>
                <w:szCs w:val="24"/>
                <w:lang w:val="en-US" w:eastAsia="zh-CN"/>
              </w:rPr>
              <w:t>抗凝等指标</w:t>
            </w:r>
            <w:r>
              <w:rPr>
                <w:rFonts w:hint="default" w:cs="Times New Roman" w:eastAsiaTheme="minorEastAsia"/>
                <w:color w:val="auto"/>
                <w:sz w:val="24"/>
                <w:szCs w:val="24"/>
              </w:rPr>
              <w:t>在血栓高风险人群的诊断价值，为疾病精准化诊断和治疗提供依据</w:t>
            </w:r>
            <w:r>
              <w:rPr>
                <w:rFonts w:hint="default" w:cs="Times New Roman" w:eastAsiaTheme="minorEastAsia"/>
                <w:color w:val="auto"/>
                <w:sz w:val="24"/>
                <w:szCs w:val="24"/>
                <w:lang w:eastAsia="zh-CN"/>
              </w:rPr>
              <w:t>。</w:t>
            </w:r>
          </w:p>
        </w:tc>
      </w:tr>
      <w:tr w14:paraId="1DCAB9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14:paraId="3B569253">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21" w:firstLineChars="9"/>
              <w:jc w:val="center"/>
              <w:textAlignment w:val="auto"/>
              <w:rPr>
                <w:rFonts w:cs="Times New Roman" w:eastAsiaTheme="minorEastAsia"/>
                <w:color w:val="auto"/>
                <w:sz w:val="24"/>
                <w:szCs w:val="24"/>
              </w:rPr>
            </w:pPr>
            <w:r>
              <w:rPr>
                <w:rFonts w:hint="default" w:cs="Times New Roman" w:eastAsiaTheme="minorEastAsia"/>
                <w:color w:val="auto"/>
                <w:sz w:val="24"/>
                <w:szCs w:val="24"/>
              </w:rPr>
              <w:t>A08</w:t>
            </w:r>
          </w:p>
        </w:tc>
        <w:tc>
          <w:tcPr>
            <w:tcW w:w="2390" w:type="dxa"/>
            <w:tcBorders>
              <w:top w:val="single" w:color="auto" w:sz="4" w:space="0"/>
              <w:left w:val="single" w:color="auto" w:sz="4" w:space="0"/>
              <w:bottom w:val="single" w:color="auto" w:sz="4" w:space="0"/>
              <w:right w:val="single" w:color="auto" w:sz="4" w:space="0"/>
            </w:tcBorders>
            <w:noWrap/>
            <w:vAlign w:val="center"/>
          </w:tcPr>
          <w:p w14:paraId="5647C5F9">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cs="Times New Roman" w:eastAsiaTheme="minorEastAsia"/>
                <w:color w:val="auto"/>
                <w:sz w:val="24"/>
                <w:szCs w:val="24"/>
              </w:rPr>
            </w:pPr>
            <w:r>
              <w:rPr>
                <w:rFonts w:hint="default" w:cs="Times New Roman" w:eastAsiaTheme="minorEastAsia"/>
                <w:color w:val="auto"/>
                <w:sz w:val="24"/>
                <w:szCs w:val="24"/>
              </w:rPr>
              <w:t>凝血：凝血指标在静脉血栓栓塞症诊断及治疗监测的临床价值研究</w:t>
            </w:r>
          </w:p>
        </w:tc>
        <w:tc>
          <w:tcPr>
            <w:tcW w:w="6035" w:type="dxa"/>
            <w:tcBorders>
              <w:top w:val="single" w:color="auto" w:sz="4" w:space="0"/>
              <w:left w:val="single" w:color="auto" w:sz="4" w:space="0"/>
              <w:bottom w:val="single" w:color="auto" w:sz="4" w:space="0"/>
              <w:right w:val="single" w:color="auto" w:sz="4" w:space="0"/>
            </w:tcBorders>
            <w:noWrap/>
            <w:vAlign w:val="center"/>
          </w:tcPr>
          <w:p w14:paraId="5D444D5A">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cs="Times New Roman" w:eastAsiaTheme="minorEastAsia"/>
                <w:color w:val="auto"/>
                <w:sz w:val="24"/>
                <w:szCs w:val="24"/>
              </w:rPr>
            </w:pPr>
            <w:r>
              <w:rPr>
                <w:rFonts w:hint="default" w:cs="Times New Roman" w:eastAsiaTheme="minorEastAsia"/>
                <w:color w:val="auto"/>
                <w:sz w:val="24"/>
                <w:szCs w:val="24"/>
              </w:rPr>
              <w:t>本研究探索凝血指标在临床常用溶栓药物（如阿替普酶等）治疗前后变化规律，为个性化溶栓治疗提供依据。</w:t>
            </w:r>
          </w:p>
        </w:tc>
      </w:tr>
      <w:tr w14:paraId="1A9BD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14:paraId="27798545">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21" w:firstLineChars="9"/>
              <w:jc w:val="center"/>
              <w:textAlignment w:val="auto"/>
              <w:rPr>
                <w:rFonts w:cs="Times New Roman" w:eastAsiaTheme="minorEastAsia"/>
                <w:color w:val="auto"/>
                <w:sz w:val="24"/>
                <w:szCs w:val="24"/>
              </w:rPr>
            </w:pPr>
            <w:r>
              <w:rPr>
                <w:rFonts w:hint="default" w:cs="Times New Roman" w:eastAsiaTheme="minorEastAsia"/>
                <w:color w:val="auto"/>
                <w:sz w:val="24"/>
                <w:szCs w:val="24"/>
              </w:rPr>
              <w:t>A09</w:t>
            </w:r>
          </w:p>
        </w:tc>
        <w:tc>
          <w:tcPr>
            <w:tcW w:w="2390" w:type="dxa"/>
            <w:tcBorders>
              <w:top w:val="single" w:color="auto" w:sz="4" w:space="0"/>
              <w:left w:val="single" w:color="auto" w:sz="4" w:space="0"/>
              <w:bottom w:val="single" w:color="auto" w:sz="4" w:space="0"/>
              <w:right w:val="single" w:color="auto" w:sz="4" w:space="0"/>
            </w:tcBorders>
            <w:noWrap/>
            <w:vAlign w:val="center"/>
          </w:tcPr>
          <w:p w14:paraId="6F6E375D">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rPr>
              <w:t>凝血：凝血</w:t>
            </w:r>
            <w:r>
              <w:rPr>
                <w:rFonts w:hint="default" w:cs="Times New Roman" w:eastAsiaTheme="minorEastAsia"/>
                <w:color w:val="auto"/>
                <w:sz w:val="24"/>
                <w:szCs w:val="24"/>
                <w:lang w:val="en-US" w:eastAsia="zh-CN"/>
              </w:rPr>
              <w:t>检测试剂抗干扰性能和线性范围、参考范围的研究</w:t>
            </w:r>
          </w:p>
        </w:tc>
        <w:tc>
          <w:tcPr>
            <w:tcW w:w="6035" w:type="dxa"/>
            <w:tcBorders>
              <w:top w:val="single" w:color="auto" w:sz="4" w:space="0"/>
              <w:left w:val="single" w:color="auto" w:sz="4" w:space="0"/>
              <w:bottom w:val="single" w:color="auto" w:sz="4" w:space="0"/>
              <w:right w:val="single" w:color="auto" w:sz="4" w:space="0"/>
            </w:tcBorders>
            <w:noWrap/>
            <w:vAlign w:val="center"/>
          </w:tcPr>
          <w:p w14:paraId="3116E39D">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cs="Times New Roman" w:eastAsiaTheme="minorEastAsia"/>
                <w:color w:val="auto"/>
                <w:sz w:val="24"/>
                <w:szCs w:val="24"/>
              </w:rPr>
            </w:pPr>
            <w:r>
              <w:rPr>
                <w:rFonts w:hint="default" w:cs="Times New Roman" w:eastAsiaTheme="minorEastAsia"/>
                <w:color w:val="auto"/>
                <w:sz w:val="24"/>
                <w:szCs w:val="24"/>
                <w:lang w:val="en-US" w:eastAsia="zh-CN"/>
              </w:rPr>
              <w:t>检测结果的准确性易受内源性（如溶血、脂血、胆红素）及外源性（如药物、抗凝剂）干扰，并且依赖于试剂的线性范围和参考范围。本课题旨在系统研究干扰物、线性范围和参考范围对凝血检测结果的影响，评估、探讨凝血试剂的抗干扰能力、线性范围、参考范围在临床的应用价值。</w:t>
            </w:r>
          </w:p>
        </w:tc>
      </w:tr>
      <w:tr w14:paraId="1B054F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14:paraId="299F7449">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21" w:firstLineChars="9"/>
              <w:jc w:val="center"/>
              <w:textAlignment w:val="auto"/>
              <w:rPr>
                <w:rFonts w:cs="Times New Roman" w:eastAsiaTheme="minorEastAsia"/>
                <w:color w:val="auto"/>
                <w:sz w:val="24"/>
                <w:szCs w:val="24"/>
              </w:rPr>
            </w:pPr>
            <w:r>
              <w:rPr>
                <w:rFonts w:hint="default" w:cs="Times New Roman" w:eastAsiaTheme="minorEastAsia"/>
                <w:color w:val="auto"/>
                <w:sz w:val="24"/>
                <w:szCs w:val="24"/>
              </w:rPr>
              <w:t>A10</w:t>
            </w:r>
          </w:p>
        </w:tc>
        <w:tc>
          <w:tcPr>
            <w:tcW w:w="2390" w:type="dxa"/>
            <w:tcBorders>
              <w:top w:val="single" w:color="auto" w:sz="4" w:space="0"/>
              <w:left w:val="single" w:color="auto" w:sz="4" w:space="0"/>
              <w:bottom w:val="single" w:color="auto" w:sz="4" w:space="0"/>
              <w:right w:val="single" w:color="auto" w:sz="4" w:space="0"/>
            </w:tcBorders>
            <w:noWrap/>
            <w:vAlign w:val="center"/>
          </w:tcPr>
          <w:p w14:paraId="523D7A7B">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cs="Times New Roman" w:eastAsiaTheme="minorEastAsia"/>
                <w:color w:val="auto"/>
                <w:sz w:val="24"/>
                <w:szCs w:val="24"/>
              </w:rPr>
            </w:pPr>
            <w:r>
              <w:rPr>
                <w:rFonts w:hint="default" w:cs="Times New Roman" w:eastAsiaTheme="minorEastAsia"/>
                <w:color w:val="auto"/>
                <w:sz w:val="24"/>
                <w:szCs w:val="24"/>
              </w:rPr>
              <w:t>生化：实验室生化指标检测中常见干扰机理及预防性研究</w:t>
            </w:r>
          </w:p>
        </w:tc>
        <w:tc>
          <w:tcPr>
            <w:tcW w:w="6035" w:type="dxa"/>
            <w:tcBorders>
              <w:top w:val="single" w:color="auto" w:sz="4" w:space="0"/>
              <w:left w:val="single" w:color="auto" w:sz="4" w:space="0"/>
              <w:bottom w:val="single" w:color="auto" w:sz="4" w:space="0"/>
              <w:right w:val="single" w:color="auto" w:sz="4" w:space="0"/>
            </w:tcBorders>
            <w:noWrap/>
            <w:vAlign w:val="center"/>
          </w:tcPr>
          <w:p w14:paraId="44A582B3">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cs="Times New Roman" w:eastAsiaTheme="minorEastAsia"/>
                <w:color w:val="auto"/>
                <w:sz w:val="24"/>
                <w:szCs w:val="24"/>
              </w:rPr>
            </w:pPr>
            <w:r>
              <w:rPr>
                <w:rFonts w:hint="default" w:cs="Times New Roman" w:eastAsiaTheme="minorEastAsia"/>
                <w:color w:val="auto"/>
                <w:sz w:val="24"/>
                <w:szCs w:val="24"/>
              </w:rPr>
              <w:t>本研究通过探讨实验室生化指标检测中常见的干扰物干扰的机理，并研究抗干扰新技术在临床实验室生化指标检测中准确性优化，最终确认抗干扰新技术在心血管、肝病、肾病等临床疾病精准检测、疗效评估中的应用价值。</w:t>
            </w:r>
          </w:p>
        </w:tc>
      </w:tr>
      <w:tr w14:paraId="59986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0"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14:paraId="4391049A">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21" w:firstLineChars="9"/>
              <w:jc w:val="center"/>
              <w:textAlignment w:val="auto"/>
              <w:rPr>
                <w:rFonts w:cs="Times New Roman" w:eastAsiaTheme="minorEastAsia"/>
                <w:color w:val="auto"/>
                <w:sz w:val="24"/>
                <w:szCs w:val="24"/>
              </w:rPr>
            </w:pPr>
            <w:r>
              <w:rPr>
                <w:rFonts w:hint="default" w:cs="Times New Roman" w:eastAsiaTheme="minorEastAsia"/>
                <w:color w:val="auto"/>
                <w:sz w:val="24"/>
                <w:szCs w:val="24"/>
              </w:rPr>
              <w:t>A11</w:t>
            </w:r>
          </w:p>
        </w:tc>
        <w:tc>
          <w:tcPr>
            <w:tcW w:w="2390" w:type="dxa"/>
            <w:tcBorders>
              <w:top w:val="single" w:color="auto" w:sz="4" w:space="0"/>
              <w:left w:val="single" w:color="auto" w:sz="4" w:space="0"/>
              <w:bottom w:val="single" w:color="auto" w:sz="4" w:space="0"/>
              <w:right w:val="single" w:color="auto" w:sz="4" w:space="0"/>
            </w:tcBorders>
            <w:noWrap/>
            <w:vAlign w:val="center"/>
          </w:tcPr>
          <w:p w14:paraId="4B4C464B">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cs="Times New Roman" w:eastAsiaTheme="minorEastAsia"/>
                <w:color w:val="auto"/>
                <w:sz w:val="24"/>
                <w:szCs w:val="24"/>
              </w:rPr>
            </w:pPr>
            <w:r>
              <w:rPr>
                <w:rFonts w:hint="default" w:cs="Times New Roman" w:eastAsiaTheme="minorEastAsia"/>
                <w:color w:val="auto"/>
                <w:sz w:val="24"/>
                <w:szCs w:val="24"/>
              </w:rPr>
              <w:t>生化：</w:t>
            </w:r>
            <w:r>
              <w:rPr>
                <w:rFonts w:hint="default" w:cs="Times New Roman" w:eastAsiaTheme="minorEastAsia"/>
                <w:color w:val="auto"/>
                <w:sz w:val="24"/>
                <w:szCs w:val="24"/>
                <w:lang w:val="en-US" w:eastAsia="zh-CN"/>
              </w:rPr>
              <w:t>糖尿病等代谢性疾病、</w:t>
            </w:r>
            <w:r>
              <w:rPr>
                <w:rFonts w:hint="default" w:cs="Times New Roman" w:eastAsiaTheme="minorEastAsia"/>
                <w:color w:val="auto"/>
                <w:sz w:val="24"/>
                <w:szCs w:val="24"/>
              </w:rPr>
              <w:t>动脉粥样硬化</w:t>
            </w:r>
            <w:r>
              <w:rPr>
                <w:rFonts w:hint="default" w:cs="Times New Roman" w:eastAsiaTheme="minorEastAsia"/>
                <w:color w:val="auto"/>
                <w:sz w:val="24"/>
                <w:szCs w:val="24"/>
                <w:lang w:val="en-US" w:eastAsia="zh-CN"/>
              </w:rPr>
              <w:t>等心血管疾病</w:t>
            </w:r>
            <w:r>
              <w:rPr>
                <w:rFonts w:hint="default" w:cs="Times New Roman" w:eastAsiaTheme="minorEastAsia"/>
                <w:color w:val="auto"/>
                <w:sz w:val="24"/>
                <w:szCs w:val="24"/>
              </w:rPr>
              <w:t>实验诊断、防控体系建立及应用研究</w:t>
            </w:r>
          </w:p>
        </w:tc>
        <w:tc>
          <w:tcPr>
            <w:tcW w:w="6035" w:type="dxa"/>
            <w:tcBorders>
              <w:top w:val="single" w:color="auto" w:sz="4" w:space="0"/>
              <w:left w:val="single" w:color="auto" w:sz="4" w:space="0"/>
              <w:bottom w:val="single" w:color="auto" w:sz="4" w:space="0"/>
              <w:right w:val="single" w:color="auto" w:sz="4" w:space="0"/>
            </w:tcBorders>
            <w:noWrap/>
            <w:vAlign w:val="center"/>
          </w:tcPr>
          <w:p w14:paraId="01E15255">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cs="Times New Roman" w:eastAsiaTheme="minorEastAsia"/>
                <w:color w:val="auto"/>
                <w:sz w:val="24"/>
                <w:szCs w:val="24"/>
              </w:rPr>
            </w:pPr>
            <w:r>
              <w:rPr>
                <w:rFonts w:hint="default" w:cs="Times New Roman" w:eastAsiaTheme="minorEastAsia"/>
                <w:color w:val="auto"/>
                <w:sz w:val="24"/>
                <w:szCs w:val="24"/>
              </w:rPr>
              <w:t>本研究围绕</w:t>
            </w:r>
            <w:r>
              <w:rPr>
                <w:rFonts w:hint="default" w:cs="Times New Roman" w:eastAsiaTheme="minorEastAsia"/>
                <w:color w:val="auto"/>
                <w:sz w:val="24"/>
                <w:szCs w:val="24"/>
                <w:lang w:val="en-US" w:eastAsia="zh-CN"/>
              </w:rPr>
              <w:t>糖尿病、</w:t>
            </w:r>
            <w:r>
              <w:rPr>
                <w:rFonts w:hint="default" w:cs="Times New Roman" w:eastAsiaTheme="minorEastAsia"/>
                <w:color w:val="auto"/>
                <w:sz w:val="24"/>
                <w:szCs w:val="24"/>
              </w:rPr>
              <w:t>动脉粥样硬化</w:t>
            </w:r>
            <w:r>
              <w:rPr>
                <w:rFonts w:hint="default" w:cs="Times New Roman" w:eastAsiaTheme="minorEastAsia"/>
                <w:color w:val="auto"/>
                <w:sz w:val="24"/>
                <w:szCs w:val="24"/>
                <w:lang w:val="en-US" w:eastAsia="zh-CN"/>
              </w:rPr>
              <w:t>等疾病</w:t>
            </w:r>
            <w:r>
              <w:rPr>
                <w:rFonts w:hint="default" w:cs="Times New Roman" w:eastAsiaTheme="minorEastAsia"/>
                <w:color w:val="auto"/>
                <w:sz w:val="24"/>
                <w:szCs w:val="24"/>
              </w:rPr>
              <w:t>实验诊断、防控体系开展，可针对不同的人群（青少年、老人、妊娠期患者等），研究实验室</w:t>
            </w:r>
            <w:r>
              <w:rPr>
                <w:rFonts w:hint="default" w:cs="Times New Roman" w:eastAsiaTheme="minorEastAsia"/>
                <w:color w:val="auto"/>
                <w:sz w:val="24"/>
                <w:szCs w:val="24"/>
                <w:lang w:val="en-US" w:eastAsia="zh-CN"/>
              </w:rPr>
              <w:t>血糖、</w:t>
            </w:r>
            <w:r>
              <w:rPr>
                <w:rFonts w:hint="default" w:cs="Times New Roman" w:eastAsiaTheme="minorEastAsia"/>
                <w:color w:val="auto"/>
                <w:sz w:val="24"/>
                <w:szCs w:val="24"/>
              </w:rPr>
              <w:t>血脂相关指标在该疾病的预防、早筛早诊、风险评估、严重度分层、疗效监测或预后判断中的价值，构建</w:t>
            </w:r>
            <w:r>
              <w:rPr>
                <w:rFonts w:hint="default" w:cs="Times New Roman" w:eastAsiaTheme="minorEastAsia"/>
                <w:color w:val="auto"/>
                <w:sz w:val="24"/>
                <w:szCs w:val="24"/>
                <w:lang w:val="en-US" w:eastAsia="zh-CN"/>
              </w:rPr>
              <w:t>糖尿病、</w:t>
            </w:r>
            <w:r>
              <w:rPr>
                <w:rFonts w:hint="default" w:cs="Times New Roman" w:eastAsiaTheme="minorEastAsia"/>
                <w:color w:val="auto"/>
                <w:sz w:val="24"/>
                <w:szCs w:val="24"/>
              </w:rPr>
              <w:t>动脉粥样硬化</w:t>
            </w:r>
            <w:r>
              <w:rPr>
                <w:rFonts w:hint="default" w:cs="Times New Roman" w:eastAsiaTheme="minorEastAsia"/>
                <w:color w:val="auto"/>
                <w:sz w:val="24"/>
                <w:szCs w:val="24"/>
                <w:lang w:val="en-US" w:eastAsia="zh-CN"/>
              </w:rPr>
              <w:t>等</w:t>
            </w:r>
            <w:r>
              <w:rPr>
                <w:rFonts w:hint="default" w:cs="Times New Roman" w:eastAsiaTheme="minorEastAsia"/>
                <w:color w:val="auto"/>
                <w:sz w:val="24"/>
                <w:szCs w:val="24"/>
              </w:rPr>
              <w:t>疾病的安全有效的诊疗模型，为临床提供更加具有指导价值的辅助诊断工具。</w:t>
            </w:r>
          </w:p>
        </w:tc>
      </w:tr>
      <w:tr w14:paraId="2ED19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14:paraId="269E670A">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21" w:firstLineChars="9"/>
              <w:jc w:val="center"/>
              <w:textAlignment w:val="auto"/>
              <w:rPr>
                <w:rFonts w:cs="Times New Roman" w:eastAsiaTheme="minorEastAsia"/>
                <w:color w:val="auto"/>
                <w:sz w:val="24"/>
                <w:szCs w:val="24"/>
              </w:rPr>
            </w:pPr>
            <w:r>
              <w:rPr>
                <w:rFonts w:hint="default" w:cs="Times New Roman" w:eastAsiaTheme="minorEastAsia"/>
                <w:color w:val="auto"/>
                <w:sz w:val="24"/>
                <w:szCs w:val="24"/>
              </w:rPr>
              <w:t>A12</w:t>
            </w:r>
          </w:p>
        </w:tc>
        <w:tc>
          <w:tcPr>
            <w:tcW w:w="2390" w:type="dxa"/>
            <w:tcBorders>
              <w:top w:val="single" w:color="auto" w:sz="4" w:space="0"/>
              <w:left w:val="single" w:color="auto" w:sz="4" w:space="0"/>
              <w:bottom w:val="single" w:color="auto" w:sz="4" w:space="0"/>
              <w:right w:val="single" w:color="auto" w:sz="4" w:space="0"/>
            </w:tcBorders>
            <w:noWrap/>
            <w:vAlign w:val="center"/>
          </w:tcPr>
          <w:p w14:paraId="334664A5">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cs="Times New Roman" w:eastAsiaTheme="minorEastAsia"/>
                <w:color w:val="auto"/>
                <w:sz w:val="24"/>
                <w:szCs w:val="24"/>
              </w:rPr>
            </w:pPr>
            <w:r>
              <w:rPr>
                <w:rFonts w:hint="default" w:cs="Times New Roman" w:eastAsiaTheme="minorEastAsia"/>
                <w:color w:val="auto"/>
                <w:sz w:val="24"/>
                <w:szCs w:val="24"/>
                <w:highlight w:val="none"/>
              </w:rPr>
              <w:t>生化：</w:t>
            </w:r>
            <w:r>
              <w:rPr>
                <w:rFonts w:hint="default" w:cs="Times New Roman" w:eastAsiaTheme="minorEastAsia"/>
                <w:color w:val="auto"/>
                <w:sz w:val="24"/>
                <w:szCs w:val="24"/>
                <w:highlight w:val="none"/>
                <w:lang w:val="en-US" w:eastAsia="zh-CN"/>
              </w:rPr>
              <w:t>基于肝、肾功等多种标志物组合建立疾病的早期预警、疾病诊断模型</w:t>
            </w:r>
          </w:p>
        </w:tc>
        <w:tc>
          <w:tcPr>
            <w:tcW w:w="6035" w:type="dxa"/>
            <w:tcBorders>
              <w:top w:val="single" w:color="auto" w:sz="4" w:space="0"/>
              <w:left w:val="single" w:color="auto" w:sz="4" w:space="0"/>
              <w:bottom w:val="single" w:color="auto" w:sz="4" w:space="0"/>
              <w:right w:val="single" w:color="auto" w:sz="4" w:space="0"/>
            </w:tcBorders>
            <w:noWrap/>
            <w:vAlign w:val="center"/>
          </w:tcPr>
          <w:p w14:paraId="085A6687">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cs="Times New Roman" w:eastAsiaTheme="minorEastAsia"/>
                <w:color w:val="auto"/>
                <w:sz w:val="24"/>
                <w:szCs w:val="24"/>
              </w:rPr>
            </w:pPr>
            <w:r>
              <w:rPr>
                <w:rFonts w:hint="default" w:cs="Times New Roman" w:eastAsiaTheme="minorEastAsia"/>
                <w:color w:val="auto"/>
                <w:sz w:val="24"/>
                <w:szCs w:val="24"/>
              </w:rPr>
              <w:t>本研究围绕不同人群（儿童、成人、老年人、妊娠期妇女等）</w:t>
            </w:r>
            <w:r>
              <w:rPr>
                <w:rFonts w:hint="default" w:cs="Times New Roman" w:eastAsiaTheme="minorEastAsia"/>
                <w:color w:val="auto"/>
                <w:sz w:val="24"/>
                <w:szCs w:val="24"/>
                <w:lang w:val="en-US" w:eastAsia="zh-CN"/>
              </w:rPr>
              <w:t>肝肾功能易受到影响的</w:t>
            </w:r>
            <w:r>
              <w:rPr>
                <w:rFonts w:hint="default" w:cs="Times New Roman" w:eastAsiaTheme="minorEastAsia"/>
                <w:color w:val="auto"/>
                <w:sz w:val="24"/>
                <w:szCs w:val="24"/>
              </w:rPr>
              <w:t>疾病</w:t>
            </w:r>
            <w:r>
              <w:rPr>
                <w:rFonts w:hint="default" w:cs="Times New Roman" w:eastAsiaTheme="minorEastAsia"/>
                <w:color w:val="auto"/>
                <w:sz w:val="24"/>
                <w:szCs w:val="24"/>
                <w:lang w:eastAsia="zh-CN"/>
              </w:rPr>
              <w:t>，</w:t>
            </w:r>
            <w:r>
              <w:rPr>
                <w:rFonts w:hint="default" w:cs="Times New Roman" w:eastAsiaTheme="minorEastAsia"/>
                <w:color w:val="auto"/>
                <w:sz w:val="24"/>
                <w:szCs w:val="24"/>
                <w:lang w:val="en-US" w:eastAsia="zh-CN"/>
              </w:rPr>
              <w:t>出于</w:t>
            </w:r>
            <w:r>
              <w:rPr>
                <w:rFonts w:hint="default" w:cs="Times New Roman" w:eastAsiaTheme="minorEastAsia"/>
                <w:color w:val="auto"/>
                <w:sz w:val="24"/>
                <w:szCs w:val="24"/>
              </w:rPr>
              <w:t>患者的全病程管理，基于无创的血、尿生化检验指标</w:t>
            </w:r>
            <w:r>
              <w:rPr>
                <w:rFonts w:hint="default" w:cs="Times New Roman" w:eastAsiaTheme="minorEastAsia"/>
                <w:color w:val="auto"/>
                <w:sz w:val="24"/>
                <w:szCs w:val="24"/>
                <w:lang w:eastAsia="zh-CN"/>
              </w:rPr>
              <w:t>，</w:t>
            </w:r>
            <w:r>
              <w:rPr>
                <w:rFonts w:hint="default" w:cs="Times New Roman" w:eastAsiaTheme="minorEastAsia"/>
                <w:color w:val="auto"/>
                <w:sz w:val="24"/>
                <w:szCs w:val="24"/>
                <w:lang w:val="en-US" w:eastAsia="zh-CN"/>
              </w:rPr>
              <w:t>结合多种标志物检测指标</w:t>
            </w:r>
            <w:r>
              <w:rPr>
                <w:rFonts w:hint="default" w:cs="Times New Roman" w:eastAsiaTheme="minorEastAsia"/>
                <w:color w:val="auto"/>
                <w:sz w:val="24"/>
                <w:szCs w:val="24"/>
              </w:rPr>
              <w:t>构建</w:t>
            </w:r>
            <w:r>
              <w:rPr>
                <w:rFonts w:hint="default" w:cs="Times New Roman" w:eastAsiaTheme="minorEastAsia"/>
                <w:color w:val="auto"/>
                <w:sz w:val="24"/>
                <w:szCs w:val="24"/>
                <w:lang w:val="en-US" w:eastAsia="zh-CN"/>
              </w:rPr>
              <w:t>相关</w:t>
            </w:r>
            <w:r>
              <w:rPr>
                <w:rFonts w:hint="default" w:cs="Times New Roman" w:eastAsiaTheme="minorEastAsia"/>
                <w:color w:val="auto"/>
                <w:sz w:val="24"/>
                <w:szCs w:val="24"/>
              </w:rPr>
              <w:t>疾病的早期筛查、早期诊断、鉴别诊断、治疗方案选择、疗效判断及患者预后评估等方面的诊疗模型。</w:t>
            </w:r>
          </w:p>
        </w:tc>
      </w:tr>
      <w:tr w14:paraId="2497E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14:paraId="0A5B0ADA">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21" w:firstLineChars="9"/>
              <w:jc w:val="center"/>
              <w:textAlignment w:val="auto"/>
              <w:rPr>
                <w:rFonts w:cs="Times New Roman" w:eastAsiaTheme="minorEastAsia"/>
                <w:color w:val="auto"/>
                <w:sz w:val="24"/>
                <w:szCs w:val="24"/>
              </w:rPr>
            </w:pPr>
            <w:r>
              <w:rPr>
                <w:rFonts w:hint="default" w:cs="Times New Roman" w:eastAsiaTheme="minorEastAsia"/>
                <w:color w:val="auto"/>
                <w:sz w:val="24"/>
                <w:szCs w:val="24"/>
              </w:rPr>
              <w:t>A13</w:t>
            </w:r>
          </w:p>
        </w:tc>
        <w:tc>
          <w:tcPr>
            <w:tcW w:w="2390" w:type="dxa"/>
            <w:tcBorders>
              <w:top w:val="single" w:color="auto" w:sz="4" w:space="0"/>
              <w:left w:val="single" w:color="auto" w:sz="4" w:space="0"/>
              <w:bottom w:val="single" w:color="auto" w:sz="4" w:space="0"/>
              <w:right w:val="single" w:color="auto" w:sz="4" w:space="0"/>
            </w:tcBorders>
            <w:noWrap/>
            <w:vAlign w:val="center"/>
          </w:tcPr>
          <w:p w14:paraId="7ED9AB9F">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cs="Times New Roman" w:eastAsiaTheme="minorEastAsia"/>
                <w:color w:val="auto"/>
                <w:sz w:val="24"/>
                <w:szCs w:val="24"/>
              </w:rPr>
            </w:pPr>
            <w:r>
              <w:rPr>
                <w:rFonts w:hint="default" w:cs="Times New Roman" w:eastAsiaTheme="minorEastAsia"/>
                <w:color w:val="auto"/>
                <w:sz w:val="24"/>
                <w:szCs w:val="24"/>
              </w:rPr>
              <w:t>临检：基于临床基础检验新技术、新参数对血液疾病、感染性疾病</w:t>
            </w:r>
            <w:r>
              <w:rPr>
                <w:rFonts w:hint="default" w:cs="Times New Roman" w:eastAsiaTheme="minorEastAsia"/>
                <w:color w:val="auto"/>
                <w:sz w:val="24"/>
                <w:szCs w:val="24"/>
                <w:lang w:eastAsia="zh-CN"/>
              </w:rPr>
              <w:t>、</w:t>
            </w:r>
            <w:r>
              <w:rPr>
                <w:rFonts w:hint="default" w:cs="Times New Roman" w:eastAsiaTheme="minorEastAsia"/>
                <w:color w:val="auto"/>
                <w:sz w:val="24"/>
                <w:szCs w:val="24"/>
                <w:lang w:val="en-US" w:eastAsia="zh-CN"/>
              </w:rPr>
              <w:t>自身免疫性疾病</w:t>
            </w:r>
            <w:r>
              <w:rPr>
                <w:rFonts w:hint="default" w:cs="Times New Roman" w:eastAsiaTheme="minorEastAsia"/>
                <w:color w:val="auto"/>
                <w:sz w:val="24"/>
                <w:szCs w:val="24"/>
              </w:rPr>
              <w:t>或</w:t>
            </w:r>
            <w:r>
              <w:rPr>
                <w:rFonts w:hint="default" w:cs="Times New Roman" w:eastAsiaTheme="minorEastAsia"/>
                <w:color w:val="auto"/>
                <w:sz w:val="24"/>
                <w:szCs w:val="24"/>
                <w:lang w:val="en-US" w:eastAsia="zh-CN"/>
              </w:rPr>
              <w:t>肺部、</w:t>
            </w:r>
            <w:r>
              <w:rPr>
                <w:rFonts w:hint="default" w:cs="Times New Roman" w:eastAsiaTheme="minorEastAsia"/>
                <w:color w:val="auto"/>
                <w:sz w:val="24"/>
                <w:szCs w:val="24"/>
              </w:rPr>
              <w:t>肾脏</w:t>
            </w:r>
            <w:r>
              <w:rPr>
                <w:rFonts w:hint="default" w:cs="Times New Roman" w:eastAsiaTheme="minorEastAsia"/>
                <w:color w:val="auto"/>
                <w:sz w:val="24"/>
                <w:szCs w:val="24"/>
                <w:lang w:eastAsia="zh-CN"/>
              </w:rPr>
              <w:t>、</w:t>
            </w:r>
            <w:r>
              <w:rPr>
                <w:rFonts w:hint="default" w:cs="Times New Roman" w:eastAsiaTheme="minorEastAsia"/>
                <w:color w:val="auto"/>
                <w:sz w:val="24"/>
                <w:szCs w:val="24"/>
                <w:lang w:val="en-US" w:eastAsia="zh-CN"/>
              </w:rPr>
              <w:t>胰腺</w:t>
            </w:r>
            <w:r>
              <w:rPr>
                <w:rFonts w:hint="default" w:cs="Times New Roman" w:eastAsiaTheme="minorEastAsia"/>
                <w:color w:val="auto"/>
                <w:sz w:val="24"/>
                <w:szCs w:val="24"/>
              </w:rPr>
              <w:t>疾病的辅助诊断及临床应用研究</w:t>
            </w:r>
          </w:p>
        </w:tc>
        <w:tc>
          <w:tcPr>
            <w:tcW w:w="6035" w:type="dxa"/>
            <w:tcBorders>
              <w:top w:val="single" w:color="auto" w:sz="4" w:space="0"/>
              <w:left w:val="single" w:color="auto" w:sz="4" w:space="0"/>
              <w:bottom w:val="single" w:color="auto" w:sz="4" w:space="0"/>
              <w:right w:val="single" w:color="auto" w:sz="4" w:space="0"/>
            </w:tcBorders>
            <w:noWrap/>
            <w:vAlign w:val="center"/>
          </w:tcPr>
          <w:p w14:paraId="723F4D7E">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cs="Times New Roman" w:eastAsiaTheme="minorEastAsia"/>
                <w:color w:val="auto"/>
                <w:sz w:val="24"/>
                <w:szCs w:val="24"/>
              </w:rPr>
            </w:pPr>
            <w:r>
              <w:rPr>
                <w:rFonts w:hint="default" w:cs="Times New Roman" w:eastAsiaTheme="minorEastAsia"/>
                <w:color w:val="auto"/>
                <w:sz w:val="24"/>
                <w:szCs w:val="24"/>
              </w:rPr>
              <w:t>通过研究临床基础检验中血液及尿液新技术、新参数的临床诊疗价值，为血液疾病、感染性疾病</w:t>
            </w:r>
            <w:r>
              <w:rPr>
                <w:rFonts w:hint="default" w:cs="Times New Roman" w:eastAsiaTheme="minorEastAsia"/>
                <w:color w:val="auto"/>
                <w:sz w:val="24"/>
                <w:szCs w:val="24"/>
                <w:lang w:eastAsia="zh-CN"/>
              </w:rPr>
              <w:t>、</w:t>
            </w:r>
            <w:r>
              <w:rPr>
                <w:rFonts w:hint="default" w:cs="Times New Roman" w:eastAsiaTheme="minorEastAsia"/>
                <w:color w:val="auto"/>
                <w:sz w:val="24"/>
                <w:szCs w:val="24"/>
                <w:lang w:val="en-US" w:eastAsia="zh-CN"/>
              </w:rPr>
              <w:t>自身免疫性疾病</w:t>
            </w:r>
            <w:r>
              <w:rPr>
                <w:rFonts w:hint="default" w:cs="Times New Roman" w:eastAsiaTheme="minorEastAsia"/>
                <w:color w:val="auto"/>
                <w:sz w:val="24"/>
                <w:szCs w:val="24"/>
              </w:rPr>
              <w:t>或</w:t>
            </w:r>
            <w:r>
              <w:rPr>
                <w:rFonts w:hint="default" w:cs="Times New Roman" w:eastAsiaTheme="minorEastAsia"/>
                <w:color w:val="auto"/>
                <w:sz w:val="24"/>
                <w:szCs w:val="24"/>
                <w:lang w:val="en-US" w:eastAsia="zh-CN"/>
              </w:rPr>
              <w:t>发生于肺部、</w:t>
            </w:r>
            <w:r>
              <w:rPr>
                <w:rFonts w:hint="default" w:cs="Times New Roman" w:eastAsiaTheme="minorEastAsia"/>
                <w:color w:val="auto"/>
                <w:sz w:val="24"/>
                <w:szCs w:val="24"/>
              </w:rPr>
              <w:t>肾脏</w:t>
            </w:r>
            <w:r>
              <w:rPr>
                <w:rFonts w:hint="default" w:cs="Times New Roman" w:eastAsiaTheme="minorEastAsia"/>
                <w:color w:val="auto"/>
                <w:sz w:val="24"/>
                <w:szCs w:val="24"/>
                <w:lang w:eastAsia="zh-CN"/>
              </w:rPr>
              <w:t>、</w:t>
            </w:r>
            <w:r>
              <w:rPr>
                <w:rFonts w:hint="default" w:cs="Times New Roman" w:eastAsiaTheme="minorEastAsia"/>
                <w:color w:val="auto"/>
                <w:sz w:val="24"/>
                <w:szCs w:val="24"/>
                <w:lang w:val="en-US" w:eastAsia="zh-CN"/>
              </w:rPr>
              <w:t>胰腺的</w:t>
            </w:r>
            <w:r>
              <w:rPr>
                <w:rFonts w:hint="default" w:cs="Times New Roman" w:eastAsiaTheme="minorEastAsia"/>
                <w:color w:val="auto"/>
                <w:sz w:val="24"/>
                <w:szCs w:val="24"/>
              </w:rPr>
              <w:t>疾病早期筛查、辅助诊断、治疗监测或预后判断提供依据。</w:t>
            </w:r>
          </w:p>
        </w:tc>
      </w:tr>
      <w:tr w14:paraId="12EE4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14:paraId="2B72AD89">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21" w:firstLineChars="9"/>
              <w:jc w:val="center"/>
              <w:textAlignment w:val="auto"/>
              <w:rPr>
                <w:rFonts w:cs="Times New Roman" w:eastAsiaTheme="minorEastAsia"/>
                <w:color w:val="auto"/>
                <w:sz w:val="24"/>
                <w:szCs w:val="24"/>
              </w:rPr>
            </w:pPr>
            <w:r>
              <w:rPr>
                <w:rFonts w:hint="default" w:cs="Times New Roman" w:eastAsiaTheme="minorEastAsia"/>
                <w:color w:val="auto"/>
                <w:sz w:val="24"/>
                <w:szCs w:val="24"/>
              </w:rPr>
              <w:t>A14</w:t>
            </w:r>
          </w:p>
        </w:tc>
        <w:tc>
          <w:tcPr>
            <w:tcW w:w="2390" w:type="dxa"/>
            <w:tcBorders>
              <w:top w:val="single" w:color="auto" w:sz="4" w:space="0"/>
              <w:left w:val="single" w:color="auto" w:sz="4" w:space="0"/>
              <w:bottom w:val="single" w:color="auto" w:sz="4" w:space="0"/>
              <w:right w:val="single" w:color="auto" w:sz="4" w:space="0"/>
            </w:tcBorders>
            <w:noWrap/>
            <w:vAlign w:val="center"/>
          </w:tcPr>
          <w:p w14:paraId="29C6D7B5">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cs="Times New Roman" w:eastAsiaTheme="minorEastAsia"/>
                <w:color w:val="auto"/>
                <w:sz w:val="24"/>
                <w:szCs w:val="24"/>
              </w:rPr>
            </w:pPr>
            <w:r>
              <w:rPr>
                <w:rFonts w:hint="default" w:cs="Times New Roman" w:eastAsiaTheme="minorEastAsia"/>
                <w:color w:val="auto"/>
                <w:sz w:val="24"/>
                <w:szCs w:val="24"/>
              </w:rPr>
              <w:t>临检：血液分析及尿液分析的自动审核、复检规则的临床应用研究</w:t>
            </w:r>
          </w:p>
        </w:tc>
        <w:tc>
          <w:tcPr>
            <w:tcW w:w="6035" w:type="dxa"/>
            <w:tcBorders>
              <w:top w:val="single" w:color="auto" w:sz="4" w:space="0"/>
              <w:left w:val="single" w:color="auto" w:sz="4" w:space="0"/>
              <w:bottom w:val="single" w:color="auto" w:sz="4" w:space="0"/>
              <w:right w:val="single" w:color="auto" w:sz="4" w:space="0"/>
            </w:tcBorders>
            <w:noWrap/>
            <w:vAlign w:val="center"/>
          </w:tcPr>
          <w:p w14:paraId="6F175313">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cs="Times New Roman" w:eastAsiaTheme="minorEastAsia"/>
                <w:color w:val="auto"/>
                <w:sz w:val="24"/>
                <w:szCs w:val="24"/>
              </w:rPr>
            </w:pPr>
            <w:r>
              <w:rPr>
                <w:rFonts w:hint="default" w:cs="Times New Roman" w:eastAsiaTheme="minorEastAsia"/>
                <w:color w:val="auto"/>
                <w:sz w:val="24"/>
                <w:szCs w:val="24"/>
              </w:rPr>
              <w:t>通过研究临床基础检验中血液、尿液分析的自动审核、复检规则建立的标准，采用人工智能等技术，实现血液分析、尿液分析对异常样本精准检出及精准复检。</w:t>
            </w:r>
          </w:p>
        </w:tc>
      </w:tr>
      <w:tr w14:paraId="54C8A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14:paraId="3403CF22">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21" w:firstLineChars="9"/>
              <w:jc w:val="center"/>
              <w:textAlignment w:val="auto"/>
              <w:rPr>
                <w:rFonts w:cs="Times New Roman" w:eastAsiaTheme="minorEastAsia"/>
                <w:color w:val="auto"/>
                <w:sz w:val="24"/>
                <w:szCs w:val="24"/>
              </w:rPr>
            </w:pPr>
            <w:r>
              <w:rPr>
                <w:rFonts w:hint="default" w:cs="Times New Roman" w:eastAsiaTheme="minorEastAsia"/>
                <w:color w:val="auto"/>
                <w:sz w:val="24"/>
                <w:szCs w:val="24"/>
              </w:rPr>
              <w:t>A1</w:t>
            </w:r>
            <w:r>
              <w:rPr>
                <w:rFonts w:cs="Times New Roman" w:eastAsiaTheme="minorEastAsia"/>
                <w:color w:val="auto"/>
                <w:sz w:val="24"/>
                <w:szCs w:val="24"/>
              </w:rPr>
              <w:t>5</w:t>
            </w:r>
          </w:p>
        </w:tc>
        <w:tc>
          <w:tcPr>
            <w:tcW w:w="2390" w:type="dxa"/>
            <w:tcBorders>
              <w:top w:val="single" w:color="auto" w:sz="4" w:space="0"/>
              <w:left w:val="single" w:color="auto" w:sz="4" w:space="0"/>
              <w:bottom w:val="single" w:color="auto" w:sz="4" w:space="0"/>
              <w:right w:val="single" w:color="auto" w:sz="4" w:space="0"/>
            </w:tcBorders>
            <w:noWrap/>
            <w:vAlign w:val="center"/>
          </w:tcPr>
          <w:p w14:paraId="0FEA8B74">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cs="Times New Roman" w:eastAsiaTheme="minorEastAsia"/>
                <w:color w:val="auto"/>
                <w:sz w:val="24"/>
                <w:szCs w:val="24"/>
              </w:rPr>
            </w:pPr>
            <w:r>
              <w:rPr>
                <w:rFonts w:hint="default" w:cs="Times New Roman" w:eastAsiaTheme="minorEastAsia"/>
                <w:color w:val="auto"/>
                <w:sz w:val="24"/>
                <w:szCs w:val="24"/>
              </w:rPr>
              <w:t>微生物：药敏检测指导临床链球菌感染合理使用抗菌药物的临床价值研究</w:t>
            </w:r>
          </w:p>
        </w:tc>
        <w:tc>
          <w:tcPr>
            <w:tcW w:w="6035" w:type="dxa"/>
            <w:tcBorders>
              <w:top w:val="single" w:color="auto" w:sz="4" w:space="0"/>
              <w:left w:val="single" w:color="auto" w:sz="4" w:space="0"/>
              <w:bottom w:val="single" w:color="auto" w:sz="4" w:space="0"/>
              <w:right w:val="single" w:color="auto" w:sz="4" w:space="0"/>
            </w:tcBorders>
            <w:noWrap/>
            <w:vAlign w:val="center"/>
          </w:tcPr>
          <w:p w14:paraId="50B9DDB3">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cs="Times New Roman" w:eastAsiaTheme="minorEastAsia"/>
                <w:color w:val="auto"/>
                <w:sz w:val="24"/>
                <w:szCs w:val="24"/>
              </w:rPr>
            </w:pPr>
            <w:r>
              <w:rPr>
                <w:rFonts w:hint="default" w:cs="Times New Roman" w:eastAsiaTheme="minorEastAsia"/>
                <w:color w:val="auto"/>
                <w:sz w:val="24"/>
                <w:szCs w:val="24"/>
              </w:rPr>
              <w:t>本研究围绕肺炎链球菌药敏检测的不同方法（E-TEST检测、微量肉汤稀释法和已上市自动化药敏检测产品），基于不同样本来源肺炎链球菌有不同的折点，探究不同检测方法/产品对于不同样本来源肺炎链球菌药敏检测的结果准确性，以更好地指导临床针对性使用抗菌药物。研究已上市自动化链球菌药敏检测产品在链球菌药敏检测中的报告时效性和结果准确性，探讨优化检测流程、缩短报告时间和精准报告结果，以更加快速准确的为临床提供药敏结果，指导临床用药。</w:t>
            </w:r>
          </w:p>
        </w:tc>
      </w:tr>
      <w:tr w14:paraId="15A57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14:paraId="6DBE0860">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21" w:firstLineChars="9"/>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A16</w:t>
            </w:r>
          </w:p>
        </w:tc>
        <w:tc>
          <w:tcPr>
            <w:tcW w:w="23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63B7484">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急性呼吸窘迫综合征整合脑氧的多模态监测和预后预测研究</w:t>
            </w:r>
          </w:p>
        </w:tc>
        <w:tc>
          <w:tcPr>
            <w:tcW w:w="60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6B75644">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针对急性呼吸窘迫综合征（ARDS）患者病死率高、干预复杂的临床挑战，通过前瞻性设计构建多模态预警系统与全周期管理策略，实现诊疗模式改进。建立急性呼吸窘迫综合征（ARDS）专病队列，通过机器学习算法对ARDS患者生物标志物、影像学特征、动态脑氧（NIRS）监测技术、呼吸力学参数及血流动力学指标进行特征融合，构建预后预测模型，实现风险分层与个体化肺保护策略优化，并指导呼吸机治疗中的潮气量/PEEP滴定及俯卧位通气时程调控，改善患者预后，为临床决策提供循证依据。</w:t>
            </w:r>
          </w:p>
        </w:tc>
      </w:tr>
      <w:tr w14:paraId="2AEBCD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14:paraId="089A245A">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21" w:firstLineChars="9"/>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A17</w:t>
            </w:r>
          </w:p>
        </w:tc>
        <w:tc>
          <w:tcPr>
            <w:tcW w:w="23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1FD6FB8">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新型分子图谱检测技术在重症器官功能障碍早期识别、分层和预后评估中的应用研究</w:t>
            </w:r>
          </w:p>
        </w:tc>
        <w:tc>
          <w:tcPr>
            <w:tcW w:w="60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487604D">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器官功能障碍是重症患者高死亡率的关键因素，但传统检测方法（如肝酶、肌酐）敏感度较低，难以实现早期预警，尤其是常规组学技术存在大量难以识别的非编码分子（如蛋白修饰形式、蛋白碎片、非标准代谢产物、非编码RNA等），可能隐藏器官损伤的早期信号。本研究以脓毒症、热射病、创伤等多器官功能障碍常见疾病为研究对象，依托创新分子图谱检测平台剖析血液成分中的非编码分子，进一步验证和对比其在重症患者早期器官功能障碍的早期识别、分层和预后评估中的应用价值，从而填补器官功能障碍早期预警的技术空白</w:t>
            </w:r>
            <w:r>
              <w:rPr>
                <w:rFonts w:hint="eastAsia" w:cs="Times New Roman" w:eastAsiaTheme="minorEastAsia"/>
                <w:color w:val="auto"/>
                <w:sz w:val="24"/>
                <w:szCs w:val="24"/>
                <w:lang w:val="en-US" w:eastAsia="zh-CN"/>
              </w:rPr>
              <w:t>。</w:t>
            </w:r>
          </w:p>
        </w:tc>
      </w:tr>
      <w:tr w14:paraId="7F60CC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14:paraId="7C3A06FD">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21" w:firstLineChars="9"/>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A18</w:t>
            </w:r>
          </w:p>
        </w:tc>
        <w:tc>
          <w:tcPr>
            <w:tcW w:w="23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24A0E7F">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靶向内质网与线粒体钙稳态调控的抗心律失常药物开发与临床转化研究</w:t>
            </w:r>
          </w:p>
        </w:tc>
        <w:tc>
          <w:tcPr>
            <w:tcW w:w="60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0593B8C">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围绕心肌缺血再灌注心律失常防治的需求和围术期抗心律失常药的不足，主要以心肌细胞内质网与线粒体两大细胞器为靶点，开展临床或临床基础相结合的研究明确相关药物调控心肌细胞内钙稳态及抗心律失常的作用，探索新药或老药新用用于缺血再灌注心律失常的防治，并对其有效性、安全性、使用剂量和方法进行评价，为临床安全有效应用提供可行方案。在多中心医疗机构开展应用示范和推广培训，提升国内各级医疗机构心血管手术围术期心肌损伤并发症的防治水平。</w:t>
            </w:r>
          </w:p>
        </w:tc>
      </w:tr>
      <w:tr w14:paraId="213FEF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14:paraId="0ABE4837">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21" w:firstLineChars="9"/>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A19</w:t>
            </w:r>
          </w:p>
        </w:tc>
        <w:tc>
          <w:tcPr>
            <w:tcW w:w="23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4CEC490">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泛血管病患者围术期心脑功能差异化管理和麻醉调控技术研究</w:t>
            </w:r>
          </w:p>
        </w:tc>
        <w:tc>
          <w:tcPr>
            <w:tcW w:w="60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4D4E7B1">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针对泛血管病患者围术期差异化管理和麻醉调控技术研究，建立研究心脑共病围术期监测和调控的新的方法和理论框架;揭示泛血管病患者围术期心脑相关不良事件高发，存在心脑功能中长期影响的机制;解析血流动力学、凝血紊乱、全身炎性反应等围术期损害与心脑功能之间的相互作用机制；开发针对泛血管病患者围术期器官保护的监测、诊断、治疗和干预方法</w:t>
            </w:r>
            <w:r>
              <w:rPr>
                <w:rFonts w:hint="eastAsia" w:cs="Times New Roman" w:eastAsiaTheme="minorEastAsia"/>
                <w:color w:val="auto"/>
                <w:sz w:val="24"/>
                <w:szCs w:val="24"/>
                <w:lang w:val="en-US" w:eastAsia="zh-CN"/>
              </w:rPr>
              <w:t>。</w:t>
            </w:r>
          </w:p>
        </w:tc>
      </w:tr>
      <w:tr w14:paraId="3731C5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14:paraId="4EF80066">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21" w:firstLineChars="9"/>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A20</w:t>
            </w:r>
          </w:p>
        </w:tc>
        <w:tc>
          <w:tcPr>
            <w:tcW w:w="23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A185B68">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围术期肺部并发症风险动态预警与辅助防控决策技术研究</w:t>
            </w:r>
          </w:p>
        </w:tc>
        <w:tc>
          <w:tcPr>
            <w:tcW w:w="60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BDD7FD4">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围绕全身麻醉手术后肺部并发症发生率高，综合防控干预目标性、时效性不足的临床难题，基于大样本真实世界临床队列，研究患者围术期呼吸力学特征的动态演变规律及其与肺部并发症的关联，揭示导致呼吸力学异常演化轨迹的围术期要素，建立多类型数据融合的动态预测预警模型和工具；针对肺部并发症防控，构建诊疗知识库与决策支持系统，形成差异化术中机械通气和术后早期呼吸管理策略和技术路径，构建辅助诊疗决策技术并评价其临床效果。</w:t>
            </w:r>
          </w:p>
        </w:tc>
      </w:tr>
      <w:tr w14:paraId="0043C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14:paraId="2B8540BA">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21" w:firstLineChars="9"/>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A21</w:t>
            </w:r>
          </w:p>
        </w:tc>
        <w:tc>
          <w:tcPr>
            <w:tcW w:w="23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CB1859F">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基于深度学习算法的迈瑞自研脑氧监测与代谢组学技术联合建模研究</w:t>
            </w:r>
          </w:p>
        </w:tc>
        <w:tc>
          <w:tcPr>
            <w:tcW w:w="60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075AAE6">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老年患者围术期脑功能动态监测与预警系统：基于多组学时序特征与深度学习的融合研究，研究聚焦老年患者围术期脑功能损伤防控难题，整合实时生理监测数据与多时点蛋白和代谢组学特征，构建反映个体脑功能状态的多模态数据模型，应用时序深度学习算法分析多维数据时间演变模式，识别脑功能损伤早期预警信号和高风险人群，开发智能化干预决策系统，实现老年患者围术期脑功能精准监测与主动保护，推动围术期管理精准化发展。</w:t>
            </w:r>
          </w:p>
        </w:tc>
      </w:tr>
      <w:tr w14:paraId="7A19D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14:paraId="31E40FCF">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21" w:firstLineChars="9"/>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A22</w:t>
            </w:r>
          </w:p>
        </w:tc>
        <w:tc>
          <w:tcPr>
            <w:tcW w:w="23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CE9C409">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急性呼吸窘迫综合征患者基于呼吸力学和影像学技术的个体化肺保护策略研究</w:t>
            </w:r>
          </w:p>
        </w:tc>
        <w:tc>
          <w:tcPr>
            <w:tcW w:w="60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B170EEE">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针对中重度急性呼吸窘迫综合征（ARDS）患者通气策略选择复杂、预后差的临床难题，通过前瞻性随机对照试验构建多模态监测体系与精准滴定策略。整合基于食道压监测的跨肺压等呼吸力学参数动态监测与电阻抗断层成像（EIT）区域通气异质性评估技术，结合生物学标志物、影像学、生理参数等，对比单一体系和建立多模态数据动态融合算法后的复合体系对患者核心预后影响。通过先进数据分析方法对跨肺压阈值、通气分布特征及呼吸力学参数进行特征提取与权重优化，构建联合滴定策略预测模型，实现个体化肺保护策略精准调控。包括基于跨器官交互的PEEP动态优化、俯卧位通气病程管理等。将管理范畴从当前的基于经验的呼吸参数设置策略拓展至多模态数据监测维度，验证联合监测策略对以病人为中心的预后改善效应，为ARDS通气策略优化提供高级别循证依据。</w:t>
            </w:r>
          </w:p>
        </w:tc>
      </w:tr>
      <w:tr w14:paraId="72FCB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14:paraId="5E06023D">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21" w:firstLineChars="9"/>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A23</w:t>
            </w:r>
          </w:p>
        </w:tc>
        <w:tc>
          <w:tcPr>
            <w:tcW w:w="23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FECC654">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连续实时机械能监测联合人工智能分析人机不同步优化肺保护通气的临床研究</w:t>
            </w:r>
          </w:p>
        </w:tc>
        <w:tc>
          <w:tcPr>
            <w:tcW w:w="60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39DAC1E">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急性呼吸窘迫综合征(ARDS)患者机械通气过程中，高机械能和高人机不同步指数是导致呼吸机相关肺损伤的重要因素。本研究将对急性呼吸窘迫综合征(ARDS)机械通气的患者进行连续实时机械能监测，同时人工智能基于呼吸波形及各呼吸参数精准识别人机不同步，并统计发生率，分析原因及给于调节建议，早期预警肺损伤的风险，及时干预并优化ARDS的肺保护通气策略，助力减少ARDS患者呼吸机相关肺损伤。研究将优化ARDS患者的个体化肺保护通气管理提供新的技术支持和临床依据。</w:t>
            </w:r>
          </w:p>
        </w:tc>
      </w:tr>
      <w:tr w14:paraId="37E3C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14:paraId="27D77C21">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21" w:firstLineChars="9"/>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A24</w:t>
            </w:r>
          </w:p>
        </w:tc>
        <w:tc>
          <w:tcPr>
            <w:tcW w:w="23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B8E7D71">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重症休克多模态组织氧动态监测与智能预警研究</w:t>
            </w:r>
          </w:p>
        </w:tc>
        <w:tc>
          <w:tcPr>
            <w:tcW w:w="60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39223F5">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针对重症休克高致死性、难干预的临床痛点，通过前瞻性设计，系统探索多模态组织氧（StO</w:t>
            </w:r>
            <w:r>
              <w:rPr>
                <w:rFonts w:hint="default" w:ascii="Times New Roman" w:hAnsi="Times New Roman" w:cs="Times New Roman" w:eastAsiaTheme="minorEastAsia"/>
                <w:color w:val="auto"/>
                <w:sz w:val="24"/>
                <w:szCs w:val="24"/>
                <w:lang w:val="en-US" w:eastAsia="zh-CN"/>
              </w:rPr>
              <w:t>₂</w:t>
            </w:r>
            <w:r>
              <w:rPr>
                <w:rFonts w:hint="default" w:cs="Times New Roman" w:eastAsiaTheme="minorEastAsia"/>
                <w:color w:val="auto"/>
                <w:sz w:val="24"/>
                <w:szCs w:val="24"/>
                <w:lang w:val="en-US" w:eastAsia="zh-CN"/>
              </w:rPr>
              <w:t>）动态监测联合血流动力学参数（乳酸、平均动脉压、微循环灌注指数）的预警价值。基于近红外光谱（NIRS）及微循环成像技术，构建组织氧代谢时序数据库；采用XGBoost/LSTM机器学习算法，建立48h内多器官衰竭风险动态预测模型。同步研发临床决策支持系统（CDSS），集成可视化组织氧趋势面板及智能预警阈值，实时触发液体复苏、血管活性药物阶梯调控等精准干预建议。通过多维度数据融合与医工协同优化，突破传统休克管理的静态评估局限，推动重症休克从经验性治疗向“监测-预测-干预”闭环管理转型，为改善患者预后提供循证依据。</w:t>
            </w:r>
          </w:p>
        </w:tc>
      </w:tr>
      <w:tr w14:paraId="43C43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14:paraId="4E1E68D0">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21" w:firstLineChars="9"/>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A25</w:t>
            </w:r>
          </w:p>
        </w:tc>
        <w:tc>
          <w:tcPr>
            <w:tcW w:w="23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B6E89EE">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基于脑电及多模态核磁共振的重症急性胰腺炎神经功能损伤机制与病情评估研究</w:t>
            </w:r>
          </w:p>
        </w:tc>
        <w:tc>
          <w:tcPr>
            <w:tcW w:w="60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34D092F">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本研究拟通过同步采集重症急性胰腺炎（SAP）患者的脑电图（EEG）及多模态核磁共振（MRI）数据，结合临床生化指标及CTSI评分系统，系统探究神经电生理与影像学特征与病情严重程度的相关性。采用弥散张量成像（DTI）分析白质纤维完整性，功能磁共振（fMRI）评估脑功能连接网络，EEG监测脑电节律及癫痫样放电事件。通过纵向追踪患者急性期-恢复期的神经影像动态演变，结合血清炎症因子（IL-6、TNF-α）及神经损伤标志物（S100β、NSE）水平，建立多模态神经影像指标与全身炎症反应、多器官功能障碍的量化关系。预期揭示SAP继发脑损伤的神经炎症机制，明确脑电慢波活动与默认网络功能连接异常的临床预警价值，为SAP病情分层及神经并发症防治提供客观评估体系</w:t>
            </w:r>
            <w:r>
              <w:rPr>
                <w:rFonts w:hint="eastAsia" w:cs="Times New Roman" w:eastAsiaTheme="minorEastAsia"/>
                <w:color w:val="auto"/>
                <w:sz w:val="24"/>
                <w:szCs w:val="24"/>
                <w:lang w:val="en-US" w:eastAsia="zh-CN"/>
              </w:rPr>
              <w:t>。</w:t>
            </w:r>
          </w:p>
        </w:tc>
      </w:tr>
      <w:tr w14:paraId="15B5C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14:paraId="51EC6A33">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21" w:firstLineChars="9"/>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A26</w:t>
            </w:r>
          </w:p>
        </w:tc>
        <w:tc>
          <w:tcPr>
            <w:tcW w:w="23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D3AB7F3">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机器学习预测模型对机械通气患者动态风险评估及辅助临床脱机决策的研究</w:t>
            </w:r>
          </w:p>
        </w:tc>
        <w:tc>
          <w:tcPr>
            <w:tcW w:w="60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123C7F4">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本研究将分析现有的机械通气患者脱机拔管失败预测模型的优缺点及适用范围，包括传统指标、机器学习与人工智能模型等，在此基础上通过分析大量机械通气患者的数据构建基于多模态数据整合的机器学习预测模型。并进一步研究机械通气患者的个性化脱机策略，围绕困难撤机、延长撤机患者，整合床旁设备及电子健康记录，实现动态风险评估，辅助临床脱机决策。以期提高机械通气患者脱机拔管的成功率，改善患者预后，降低医疗成本，优化资源分配，并为预测患者的疾病发展趋势、治疗效果、参考值制定和共识指南的修订等提供参考依据。</w:t>
            </w:r>
          </w:p>
        </w:tc>
      </w:tr>
      <w:tr w14:paraId="2B6E2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14:paraId="4ECD55BF">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21" w:firstLineChars="9"/>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A27</w:t>
            </w:r>
          </w:p>
        </w:tc>
        <w:tc>
          <w:tcPr>
            <w:tcW w:w="23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9C9F292">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基于大数据及分子预测模型对急性呼吸窘迫综合征中肺损伤的机制和机械通气全流程干预策略的研究</w:t>
            </w:r>
          </w:p>
        </w:tc>
        <w:tc>
          <w:tcPr>
            <w:tcW w:w="60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0D0B612">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对急性呼吸窘迫综合征(ARDS)在机械通气过程中发生肺损伤的问题，构建大数据和分子预测模型，筛选新分子靶点，在动物或细胞水平通过分子生物学等技术探讨其作用机制，为开发临床治疗新策略提供理论依据。通过在机械通气过程中所得到的压力指标，容积指标，能量指标，建立预测模型或者有效评估ARDS患者的肺部功能；通过呼吸机报警数据分析、呼吸力学参数变化等深入研究不同机械通气模式下人机对抗问题，实现更佳的人机同步；提供深层次临床研究成果，构建呼吸机脱机流程，建立脱机预测模型。</w:t>
            </w:r>
          </w:p>
        </w:tc>
      </w:tr>
      <w:tr w14:paraId="4D873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2"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14:paraId="1701A311">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21" w:firstLineChars="9"/>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A28</w:t>
            </w:r>
          </w:p>
        </w:tc>
        <w:tc>
          <w:tcPr>
            <w:tcW w:w="23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279E28F">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机械通气患者呼吸努力动态监测与个体化脱机策略研究</w:t>
            </w:r>
          </w:p>
        </w:tc>
        <w:tc>
          <w:tcPr>
            <w:tcW w:w="60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771ECF0">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针对机械通气脱机失败率高、评估方法欠精准以及延长通气时间可能显著影响患者预后的临床挑战，本研究旨在聚焦呼吸努力动态特征与脱机决策及预后的关联。通过新型监测技术探索呼吸肌恢复机制，整合多维生理参数构建预测模型，探索个体化脱机评估方法，分析监测指标与机械通气时长和住院预后的关系，以期优化呼吸支持调整策略、改善患者临床转归。这些探索将为临床提供新思路，为精准化脱机决策提供理论基础，促进重症领域脱机管理的优化</w:t>
            </w:r>
            <w:r>
              <w:rPr>
                <w:rFonts w:hint="eastAsia" w:cs="Times New Roman" w:eastAsiaTheme="minorEastAsia"/>
                <w:color w:val="auto"/>
                <w:sz w:val="24"/>
                <w:szCs w:val="24"/>
                <w:lang w:val="en-US" w:eastAsia="zh-CN"/>
              </w:rPr>
              <w:t>。</w:t>
            </w:r>
          </w:p>
        </w:tc>
      </w:tr>
      <w:tr w14:paraId="391CB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14:paraId="2E7953D6">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21" w:firstLineChars="9"/>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A29</w:t>
            </w:r>
          </w:p>
        </w:tc>
        <w:tc>
          <w:tcPr>
            <w:tcW w:w="23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0BF0B49">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经鼻高流量给氧在胃减容手术围术期临床应用研究</w:t>
            </w:r>
          </w:p>
        </w:tc>
        <w:tc>
          <w:tcPr>
            <w:tcW w:w="60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F896FFA">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本研究基于经鼻高流量给氧（HFNC）在胃减容手术围术期（术前预氧合、术后复苏）的安全性、有效性及对患者预后的影响进行研究，旨在为HFNC在胃减容手术中的精准应用提供科学依据，改善肥胖患者围术期预后，推动个体化呼吸支持策略的发展。填补HFNC在减重代谢手术麻醉领域的应用空白，优化围术期呼吸管理策略，降低术后并发症及医疗成本</w:t>
            </w:r>
            <w:r>
              <w:rPr>
                <w:rFonts w:hint="eastAsia" w:cs="Times New Roman" w:eastAsiaTheme="minorEastAsia"/>
                <w:color w:val="auto"/>
                <w:sz w:val="24"/>
                <w:szCs w:val="24"/>
                <w:lang w:val="en-US" w:eastAsia="zh-CN"/>
              </w:rPr>
              <w:t>。</w:t>
            </w:r>
          </w:p>
        </w:tc>
      </w:tr>
      <w:tr w14:paraId="35014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14:paraId="737E57D9">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21" w:firstLineChars="9"/>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A30</w:t>
            </w:r>
          </w:p>
        </w:tc>
        <w:tc>
          <w:tcPr>
            <w:tcW w:w="23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52DD538">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AnaeSight 技术在妇科手术麻醉中的应用价值评估</w:t>
            </w:r>
          </w:p>
        </w:tc>
        <w:tc>
          <w:tcPr>
            <w:tcW w:w="60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9ECF1FE">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本研究聚焦妇科手术麻醉中患者术后恶心呕吐（PONV）防控及快速康复促进的难题，创新整合 AnaeSight 技术对麻醉机、监护仪、输注泵等设备的集中控制功能，实现精准麻醉管理与通气支持。研究构建以 AnaeSight 技术应用为核心的干预模式，同步采集 PONV 发生率、严重程度、持续时间等多维度康复指标数据，应用随机对照试验设计与科学统计分析方法，深入分析技术干预对患者围术期状态的时间演变影响，识别 PONV 风险因素及加速康复的关键节点，实现妇科手术患者围术期麻醉的精准调控与康复促进，推动妇科手术麻醉管理向精准化、智能化方向发展</w:t>
            </w:r>
            <w:r>
              <w:rPr>
                <w:rFonts w:hint="eastAsia" w:cs="Times New Roman" w:eastAsiaTheme="minorEastAsia"/>
                <w:color w:val="auto"/>
                <w:sz w:val="24"/>
                <w:szCs w:val="24"/>
                <w:lang w:val="en-US" w:eastAsia="zh-CN"/>
              </w:rPr>
              <w:t>。</w:t>
            </w:r>
          </w:p>
        </w:tc>
      </w:tr>
      <w:tr w14:paraId="3DC31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8"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14:paraId="31E836E8">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21" w:firstLineChars="9"/>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A31</w:t>
            </w:r>
          </w:p>
        </w:tc>
        <w:tc>
          <w:tcPr>
            <w:tcW w:w="23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CAB7CBB">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食道血流动力学监测和体液平衡监测技术在围术期患者中的联合应用</w:t>
            </w:r>
          </w:p>
        </w:tc>
        <w:tc>
          <w:tcPr>
            <w:tcW w:w="60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6C477AC">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本研究围绕围术期患者，通过一根导管集成多个传感器等植入，同时完成患者的心电、压力、胃粘膜pH、心室容积和微循环等多项监测数据采集。减少患者的创伤的同时，简化了医务工作者的多项操作，提高工作效率；可实时整合多项监测数据进行同步联合分析，帮助医务人员完成患者的实时状体评估，以利于做出更加正确的诊断决策和治疗方案；在提升患者的安全性同时还减少了医疗的费用支出。</w:t>
            </w:r>
          </w:p>
        </w:tc>
      </w:tr>
      <w:tr w14:paraId="6A08AE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14:paraId="318D7252">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21" w:firstLineChars="9"/>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A32</w:t>
            </w:r>
          </w:p>
        </w:tc>
        <w:tc>
          <w:tcPr>
            <w:tcW w:w="23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15BE0DD">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基于可穿戴技术的麻醉科-外科-ICU多学科协作模式构建</w:t>
            </w:r>
          </w:p>
        </w:tc>
        <w:tc>
          <w:tcPr>
            <w:tcW w:w="60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CDFD99F">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本研究围绕围术期多学科协作需求，通过可穿戴体征监测系统，构建跨科室数据互通平台。整合术前风险评估、术中实时监测与术后并发症预警功能，实现多学科团队对患者心率、血压、血氧饱和度等动态数据的同步共享。重点验证系统在缩短危急值反馈时间、优化多科会诊效率及降低术后转入ICU率等方面的临床价值。通过对比传统分段监护模式，分析设备跨场景数据连续性、多科协同决策及时性、医疗差错发生率等指标，建立基于动态生命体征流的标准化协作路径，推动围术期管理向智慧化、集成化转型。</w:t>
            </w:r>
          </w:p>
        </w:tc>
      </w:tr>
      <w:tr w14:paraId="45C37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7"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14:paraId="3AD43CAD">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21" w:firstLineChars="9"/>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A33</w:t>
            </w:r>
          </w:p>
        </w:tc>
        <w:tc>
          <w:tcPr>
            <w:tcW w:w="23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DD4AF35">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基于围术期脑电监测（ESI）的妇科腹腔镜术后抑郁预测与防控研究</w:t>
            </w:r>
          </w:p>
        </w:tc>
        <w:tc>
          <w:tcPr>
            <w:tcW w:w="60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3D243D9">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本研究聚焦妇科腹腔镜术后抑郁高发的临床难题，结合围术期脑电监测（ESI）技术，探索术中脑功能状态对术后抑郁的影响及防控策略。通过前瞻性队列研究，采集患者术中ESI动态参数（如肌电指数、爆发抑制比、频谱边缘频率）、术前术后心理量表及血清炎症因子，利用XGBoost/LSTM算法整合时序数据，筛选关键预测因子，构建融合脑电、炎性因子及心理量表的预测模型，并通过随机对照试验评估ESI指导的精准麻醉降低抑郁发生率的效果。创新性提出“监测-预测-干预”闭环管理路径，推动围术期脑功能保护与心理健康管理融合，为优化麻醉策略、改善患者预后提供循证支持。</w:t>
            </w:r>
          </w:p>
        </w:tc>
      </w:tr>
      <w:tr w14:paraId="38255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14:paraId="293AFF29">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21" w:firstLineChars="9"/>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A34</w:t>
            </w:r>
          </w:p>
        </w:tc>
        <w:tc>
          <w:tcPr>
            <w:tcW w:w="23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2994950">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基于多中心数据研究经鼻高流量氧疗在儿科麻醉气道管理中的应用</w:t>
            </w:r>
          </w:p>
        </w:tc>
        <w:tc>
          <w:tcPr>
            <w:tcW w:w="60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6477637">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低氧血症是儿科麻醉相关并发症的主要原因。与成人相比，婴幼儿由于基础代谢率高、功能残气量小，低氧血症发生更早，耐受缺氧能力更差，且呈年龄依赖性。本研究探讨：不同区域不同医院①经鼻高流量氧疗技术在新生儿、早产儿、婴幼儿及肥胖儿童围插管期、拔管期的应用；②经鼻高流量氧疗技术在儿科困难气道、气道操作手术中的应用；③经鼻高流量氧疗技术在儿童日间手术、门诊镇静、区域阻滞麻醉中的应用，为儿科麻醉气道管理提供新思路。</w:t>
            </w:r>
          </w:p>
        </w:tc>
      </w:tr>
      <w:tr w14:paraId="2BC118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14:paraId="45CAA3D1">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21" w:firstLineChars="9"/>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A35</w:t>
            </w:r>
          </w:p>
        </w:tc>
        <w:tc>
          <w:tcPr>
            <w:tcW w:w="23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F9D7549">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经鼻高流量氧疗在老年COPD患者骨科手术围术期氧合改善与肺功能保护中的临床研究</w:t>
            </w:r>
          </w:p>
        </w:tc>
        <w:tc>
          <w:tcPr>
            <w:tcW w:w="60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98A248E">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围绕经鼻高流量氧疗（HFNC）在老年COPD患者骨科手术围术期肺功能保护与氧合优化的多维度调控机制开展研究，系统解析HFNC对COPD核心病理环节的靶向干预效能，重点关注其对患者氧合水平和肺功能的保护作用，并阐明明确流量-温度-湿度参数与骨科术式的适配性关联，为老年COPD患者围术期选择更安全、有效的呼吸支持方案提供依据，帮助优化临床决策，改善患者术后恢复质量。</w:t>
            </w:r>
          </w:p>
        </w:tc>
      </w:tr>
      <w:tr w14:paraId="0BBE6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6"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14:paraId="023B6C98">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21" w:firstLineChars="9"/>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A36</w:t>
            </w:r>
          </w:p>
        </w:tc>
        <w:tc>
          <w:tcPr>
            <w:tcW w:w="23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78C81F7">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全麻手术单肺通气患者基于机械能导向的肺保护策略研究</w:t>
            </w:r>
          </w:p>
        </w:tc>
        <w:tc>
          <w:tcPr>
            <w:tcW w:w="60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A0A42A3">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针对胸科手术单肺通气（OLV）患者术后肺部并发症高这一临床痛点，通过前瞻性研究，系统解析机械能与术中呼吸力学指标、通气策略及患者异质性的交互作用，并基于多维度呼吸力学及生理参数监测技术，构建OLV期间动态肺部力学能量数据库，通过大数据分析及基于人体生理参数的校准算法，建立个体化机械能安全域预测模型，并量化不同术式及基础肺病的机械能阈值差异。同步整合麻醉机嵌入式机械能智能监测模块，集成可视化能量热力图及损伤预警阈值，构建机械能与通气参数的动态调控模型。通过结合呼吸力学-能量-不同术式及病理状态的数据融合，突破传统通气策略的静态参数局限，实现从经验性通气向“综合监测-实时预警-动态调控”闭环管理转型，为围术期肺保护提供循证依据。</w:t>
            </w:r>
          </w:p>
        </w:tc>
      </w:tr>
      <w:tr w14:paraId="11E73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14:paraId="51091F89">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21" w:firstLineChars="9"/>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A37</w:t>
            </w:r>
          </w:p>
        </w:tc>
        <w:tc>
          <w:tcPr>
            <w:tcW w:w="23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788DCA4">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颈动脉剥脱术患者围术期脑保护的研究—应用多模态脑功能监测技术</w:t>
            </w:r>
          </w:p>
        </w:tc>
        <w:tc>
          <w:tcPr>
            <w:tcW w:w="60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76D1D36">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针对颈动脉剥脱术患者围术期脑损伤高发的难题，应用多模态脑功能监测技术，建立临床研究，探讨围术期脑损伤的发生机制，筛选最佳脑功能监测组合，评价其对临床指导意义。此研究聚焦多模态脑功能监测的临床转化研究。通过多模态脑功能监测模型建立，结合精准麻醉管理策略，优化围术期管理，降低围术期脑损伤的发生率，提高患者预后及生活质量。</w:t>
            </w:r>
          </w:p>
        </w:tc>
      </w:tr>
      <w:tr w14:paraId="7BFFE2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14:paraId="55446C02">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21" w:firstLineChars="9"/>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A38</w:t>
            </w:r>
          </w:p>
        </w:tc>
        <w:tc>
          <w:tcPr>
            <w:tcW w:w="23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6D3FCCE">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基于疗效验证、预后建模及临床决策优化的新型无创呼吸支持在新生儿呼吸系统疾病治疗中的临床应用研究。</w:t>
            </w:r>
          </w:p>
        </w:tc>
        <w:tc>
          <w:tcPr>
            <w:tcW w:w="60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4BE1C95">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本研究旨在评估新型无创通气技术对新生儿呼吸系统疾病的临床疗效、安全性及远期预后价值，通过多维度对比验证其降低不良结局的临床优势。采集相关治疗数据建立机器学习预后预测模型，生成个体化治疗决策树，为优化新生儿呼吸支持方案提供循证依据，推动精准诊疗实践</w:t>
            </w:r>
            <w:r>
              <w:rPr>
                <w:rFonts w:hint="eastAsia" w:cs="Times New Roman" w:eastAsiaTheme="minorEastAsia"/>
                <w:color w:val="auto"/>
                <w:sz w:val="24"/>
                <w:szCs w:val="24"/>
                <w:lang w:val="en-US" w:eastAsia="zh-CN"/>
              </w:rPr>
              <w:t>。</w:t>
            </w:r>
          </w:p>
        </w:tc>
      </w:tr>
      <w:tr w14:paraId="59105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14:paraId="453837A3">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21" w:firstLineChars="9"/>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A39</w:t>
            </w:r>
          </w:p>
        </w:tc>
        <w:tc>
          <w:tcPr>
            <w:tcW w:w="23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5A62367">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吻合器：国产主动调速腔镜吻合器在肺手术中的应用</w:t>
            </w:r>
          </w:p>
          <w:p w14:paraId="77574F21">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p>
        </w:tc>
        <w:tc>
          <w:tcPr>
            <w:tcW w:w="60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540FC0C">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本研究拟分析国产主动调速腔镜吻合器在肺段、肺叶手术中降低吻合难度、减少吻合不良事件、预防吻合口并发症并发症等指标，对比传统吻合器术后各种并发症发生率，分析并发症发生情况以及手术和卫生经济学等相关指标。结合术中实时反馈数据，优化国产主动调速腔镜吻合器参数和算法，积累国产自适应调速腔镜吻合器临床应用技巧及经验，推动国产电动吻合器等更多医疗器械发展。</w:t>
            </w:r>
          </w:p>
        </w:tc>
      </w:tr>
      <w:tr w14:paraId="75C94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9"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14:paraId="3A57C003">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21" w:firstLineChars="9"/>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A40</w:t>
            </w:r>
          </w:p>
        </w:tc>
        <w:tc>
          <w:tcPr>
            <w:tcW w:w="23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9E14946">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吻合器：国产自适应调速腔镜吻合器在预防新辅助放化疗后直肠癌手术吻合口并发症的应用研究</w:t>
            </w:r>
          </w:p>
        </w:tc>
        <w:tc>
          <w:tcPr>
            <w:tcW w:w="60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52FF2E3">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聚焦直肠癌新辅助放化疗后组织水肿和纤维化引发的吻合口并发症难题，利用国产自适应调速腔镜吻合器，发挥其预压榨时间智能识别和击发全程自适应的特点，采用随机对照研究系统阐明其比传统电动腔镜吻合器在降低吻合难度、减少吻合不良事件、预防吻合口并发症的优势；结合术中实时反馈数据，优化国产自适应调速腔镜吻合器参数和算法，推动我国高端医疗器械产业的发展，增强自主创新能力和国际竞争力。</w:t>
            </w:r>
          </w:p>
        </w:tc>
      </w:tr>
      <w:tr w14:paraId="0D3A79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14:paraId="7C26F72A">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21" w:firstLineChars="9"/>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A41</w:t>
            </w:r>
          </w:p>
        </w:tc>
        <w:tc>
          <w:tcPr>
            <w:tcW w:w="23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89133BA">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吻合器：自适应调速腔镜吻合器在胸腔镜肺叶（段）切除术中的有效性及安全性</w:t>
            </w:r>
          </w:p>
        </w:tc>
        <w:tc>
          <w:tcPr>
            <w:tcW w:w="60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ECA26D0">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中国肺癌发病率和死亡率居首，早期手术切除是改善预后的关键。腔镜吻合器技术历经手动到电动迭代，国产设备（如迈瑞自适应吻合器）通过智能芯片实时调节击发速度与成钉力，优化缝合质量，降低出血、漏气等并发症。本研究采用前瞻性随机对照设计，纳入188例需肺叶/段切除术的肺癌患者，对比国产自适应吻合器与进口产品（强生）的有效性和安全性。主要终点为术后5天持续肺漏气发生率，非劣效界值10%，辅以手术时间、钉仓使用量等次要指标。创新点在于首创国产智能吻合器临床验证体系，其内置TRS算法可感知组织厚度/硬度差异，提升成钉良率，且具备60°转角设计降低成本。研究预期证实国产器械非劣效于进口产品，推动临床替代并建立行业评价标准，助力基层医疗普及。</w:t>
            </w:r>
          </w:p>
        </w:tc>
      </w:tr>
      <w:tr w14:paraId="31E87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6"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14:paraId="17041C0C">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21" w:firstLineChars="9"/>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A42</w:t>
            </w:r>
          </w:p>
        </w:tc>
        <w:tc>
          <w:tcPr>
            <w:tcW w:w="23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0090321">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吻合器：国产智能腔镜吻合器的临床应用示范与评价体系研究</w:t>
            </w:r>
          </w:p>
        </w:tc>
        <w:tc>
          <w:tcPr>
            <w:tcW w:w="60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3A79A8F">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基于高灵敏度的压力传感器及图像分析技术，采集吻合过程中组织塑形效果、操作区域组织厚度与密度数据、组织外溢情况及吻合结束后成钉形态数据，结合血管及组织渗漏评分，通过信息化平台广泛收集多模态数据，开展多中心、多种术式的应用效果评价，建立国产电动吻合器临床应用评价系统、形成质量改进优化建议，促进国产电动吻合器产品优化研发，开展规范化、规模化电动吻合器临床使用应用示范和质量提升研究，有效提高医疗服务质量</w:t>
            </w:r>
            <w:r>
              <w:rPr>
                <w:rFonts w:hint="eastAsia" w:cs="Times New Roman" w:eastAsiaTheme="minorEastAsia"/>
                <w:color w:val="auto"/>
                <w:sz w:val="24"/>
                <w:szCs w:val="24"/>
                <w:lang w:val="en-US" w:eastAsia="zh-CN"/>
              </w:rPr>
              <w:t>。</w:t>
            </w:r>
          </w:p>
        </w:tc>
      </w:tr>
      <w:tr w14:paraId="5493A5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14:paraId="0FF50E84">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21" w:firstLineChars="9"/>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A43</w:t>
            </w:r>
          </w:p>
        </w:tc>
        <w:tc>
          <w:tcPr>
            <w:tcW w:w="23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0BA4C98">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吻合器：国产智能调速吻合器在改良的腹腔镜近端胃癌根治术后消化道重建临床研究应用</w:t>
            </w:r>
          </w:p>
        </w:tc>
        <w:tc>
          <w:tcPr>
            <w:tcW w:w="60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BAE357A">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围绕胃肠外科精准手术中肿瘤切缘界定及消化道重建问题，开展基于融合4K超高清、3D立体成像、近红外荧光导航、智能触觉反馈及腹腔超声技术的国产多模态数字化手术平台研究，建立胃癌根治术的量化解剖导航标准；依托现有微创器械研发体系，重点突破智能吻合器、多功能能量平台等核心器械的精准切割与闭合技术，系统评估国产创新器械在手术效率、并发症控制及功能保全方面的临床价值，形成胃癌微创手术的器械选用规范与技术操作共识，推动国产高端微创设备在胃肠外科领域的临床应用转化，实现进口依赖型器械的规模化替代。</w:t>
            </w:r>
          </w:p>
        </w:tc>
      </w:tr>
      <w:tr w14:paraId="39AC5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14:paraId="5AD49569">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21" w:firstLineChars="9"/>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A44</w:t>
            </w:r>
          </w:p>
        </w:tc>
        <w:tc>
          <w:tcPr>
            <w:tcW w:w="23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19962E6">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吻合器：COPD合并III期肺癌智能调速吻合器多中心临床研究及国产化转化应用</w:t>
            </w:r>
          </w:p>
        </w:tc>
        <w:tc>
          <w:tcPr>
            <w:tcW w:w="60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43E40FD">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本项目针对合并COPD的III期肺癌患者新辅助治疗后肺组织脆弱、术后并发症高发的临床难题，开展国产智能调速电动吻合器与进口产品的多中心随机对照研究。通过量化分析吻合口漏气率、住院时长及医疗费用等核心指标，建立COPD患者胸腔镜肺切除手术标准化操作规范及器械循证评价体系。创新研发钉砧自适应调节装置与组织厚度反馈调速系统，集成并发症风险预测模型与卫生经济学评价方法，形成国产器械临床适配方案。重点攻克肺实质钉合强度调控、支气管血管束精准解剖及微创伤面修复技术，预期实现术后漏气发生率降低15%、吻合器使用成本减少30%，为突破国产高端手术器械临床应用瓶颈提供技术标准与转化路径。</w:t>
            </w:r>
          </w:p>
        </w:tc>
      </w:tr>
      <w:tr w14:paraId="57A27D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14:paraId="2E13175E">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21" w:firstLineChars="9"/>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A45</w:t>
            </w:r>
          </w:p>
        </w:tc>
        <w:tc>
          <w:tcPr>
            <w:tcW w:w="23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CA6273B">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吻合器：基于智能手术器械与精准定位深度融合的早期肺癌微创治疗体系研究</w:t>
            </w:r>
          </w:p>
        </w:tc>
        <w:tc>
          <w:tcPr>
            <w:tcW w:w="60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C2D3F1D">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随着肺癌早筛技术普及，早期多原发肺癌患者逐渐增多，传统诊断定位、手术治疗方法存在疼痛、风险高、成本大等不足。本研究基于将先进手术器械与精准定位技术进行深度融合，构建一体化、智能化的早期肺癌微创手术体系，不仅实现多结节同步定位、精准切除，更在术中实时反馈与动态调控中保障手术安全和疗效，从而最大限度保留肺功能、减少患者创伤，提高生活质量。</w:t>
            </w:r>
          </w:p>
        </w:tc>
      </w:tr>
      <w:tr w14:paraId="459FF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14:paraId="7DE28508">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21" w:firstLineChars="9"/>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A46</w:t>
            </w:r>
          </w:p>
        </w:tc>
        <w:tc>
          <w:tcPr>
            <w:tcW w:w="23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19064B2">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吻合器：智能化腔镜吻合器在近端胃侧侧吻合中的精准应用及临床优势研究</w:t>
            </w:r>
          </w:p>
        </w:tc>
        <w:tc>
          <w:tcPr>
            <w:tcW w:w="60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D2D97F7">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本研究拟通过单臂研究，系统评估智能化电动吻合器在近端胃切除术侧侧吻合中的临床应用价值。研究将纳入一定数量患者病例，测试电动吻合器在操作时间、吻合质量、术后并发症等方面的数据。结合生物力学测试与组织病理学分析，揭示电动装置对吻合口微环境的影响机制。预期建立近端胃侧侧吻合的智能化操作规范，为提高胃切除手术安全性和患者生存质量提供循证依据。</w:t>
            </w:r>
          </w:p>
        </w:tc>
      </w:tr>
      <w:tr w14:paraId="457B2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14:paraId="14FF55DB">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21" w:firstLineChars="9"/>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A47</w:t>
            </w:r>
          </w:p>
        </w:tc>
        <w:tc>
          <w:tcPr>
            <w:tcW w:w="23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C33483C">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 xml:space="preserve">吻合器：主动调速腔镜吻合器在亚肺叶切除手术中的应用 </w:t>
            </w:r>
          </w:p>
        </w:tc>
        <w:tc>
          <w:tcPr>
            <w:tcW w:w="60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99DA1D7">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肺外科目前聚焦肺叶或者亚肺叶切除，血管离断是手术安全的关键核心环节。因此围绕肺外科精准手术中血管离断问题，开展电动血管专用吻合器在肺手术中血管离断的应用，采用更窄、更短的专用吻合器降低亚肺叶手术中血管离断的难度，减少出血相关并发症发生。结合已有电动切割闭合器外科器械研发平台，开展国产创新高端微创外科医疗器械的临床效果、安全性、可靠性的临床应用评价研究，为腔镜下肺外科手术安全性提供新的选择。</w:t>
            </w:r>
          </w:p>
        </w:tc>
      </w:tr>
      <w:tr w14:paraId="3DEC5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14:paraId="34D69FB9">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21" w:firstLineChars="9"/>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A48</w:t>
            </w:r>
          </w:p>
        </w:tc>
        <w:tc>
          <w:tcPr>
            <w:tcW w:w="23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7E173DB">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吻合器：国产多模态腔镜系统对于标准化腹膜后肿瘤精准切除手术规划与实施的有效性、安全性研究</w:t>
            </w:r>
          </w:p>
        </w:tc>
        <w:tc>
          <w:tcPr>
            <w:tcW w:w="60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FD3A938">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针对腹膜后肿瘤外科精准手术中肿瘤多灶性和边界定位困难问题，利用融合4K、3D、荧光、腔镜超声智显功能的国产多模态腔镜系统的超高分辨率与清晰度、精准成像与术中导航、低延迟与高稳定性、一体化与便捷性以及智显功能等多个优势，开展基于膜解剖、血管导向、中央入路的标准化腹膜后肿瘤精准切除手术技术研究；开展国产创新、高端、微创外科医疗器械的临床效果、安全性和有效性的临床应用评价研究，提出创新性意见并完成验证，为腹腔镜辅助腹膜后肿瘤外科手术精准化和规范化提供标准方案。</w:t>
            </w:r>
          </w:p>
        </w:tc>
      </w:tr>
      <w:tr w14:paraId="29A34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14:paraId="4737F641">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21" w:firstLineChars="9"/>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A49</w:t>
            </w:r>
          </w:p>
        </w:tc>
        <w:tc>
          <w:tcPr>
            <w:tcW w:w="23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552F3BD">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超声刀：国产超声刀在肝癌患者靶免治疗后肝切除中应用疗效分析</w:t>
            </w:r>
          </w:p>
        </w:tc>
        <w:tc>
          <w:tcPr>
            <w:tcW w:w="60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B781FC9">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国产超声刀在靶免治疗后肝切除中的手术疗效分析，结合临床实践和研究数据，从手术安全性、有效性、术后恢复及经济性等多个维度进行评估靶免治疗与肝切除的关系。靶向治疗（如抗血管生成药物）和免疫治疗（如PD-1/PD-L1抑制剂）在肝癌综合治疗中广泛应用，可能缩小肿瘤体积或控制转移，为手术切除创造条件。但靶免治疗可能改变肝脏组织微环境（如血管分布、纤维化程度），影响术中操作难度。国产超声刀通过高频机械振动实现组织切割与凝血，具有精准解剖、减少热损伤、止血效果好的特点，尤其适用于肝实质离断和血管处理。接受靶免治疗后行肝切除的肝癌患者，使用国产超声刀与对照组（传统电刀、进口超声刀等）。根据器械类型、靶免治疗方案（药物种类、疗程）等进行亚组分析。希望针对靶免治疗后肝脏病理特点，优化超声刀能量参数和操作流程。</w:t>
            </w:r>
          </w:p>
        </w:tc>
      </w:tr>
      <w:tr w14:paraId="3BC9A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14:paraId="54731663">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21" w:firstLineChars="9"/>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A50</w:t>
            </w:r>
          </w:p>
        </w:tc>
        <w:tc>
          <w:tcPr>
            <w:tcW w:w="23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B25B4D1">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腔镜系统：基于国产多模态腔镜系统的新辅助治疗后低位直肠癌创新手术体系的建立</w:t>
            </w:r>
          </w:p>
        </w:tc>
        <w:tc>
          <w:tcPr>
            <w:tcW w:w="60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EF8CA78">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围绕新辅助治疗后低位直肠癌手术中肿瘤下切缘精准定位、肛门直肠功能保留困难及肠造口率高问题，开展基于融合高清成像、荧光显影功能的国产多模态手术辅助系统的精准直肠癌根治、功能保留手术技术及肠造口替代创新术式研究；结合创新性直肠癌新辅助治疗策略，开展国产创新高端微创直肠外科医疗器械的临床效果、安全性、可靠性的临床应用评价研究，提出创新性意见并完成验证，为直肠癌腔镜手术规范化提供标准方案，加快国产高端手术设备替代进口产品进程。</w:t>
            </w:r>
          </w:p>
        </w:tc>
      </w:tr>
      <w:tr w14:paraId="07C71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14:paraId="59678AF1">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21" w:firstLineChars="9"/>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A51</w:t>
            </w:r>
          </w:p>
        </w:tc>
        <w:tc>
          <w:tcPr>
            <w:tcW w:w="23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DBE1D44">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腔镜系统：肺结节亚肺叶切除的精准外科治疗</w:t>
            </w:r>
          </w:p>
        </w:tc>
        <w:tc>
          <w:tcPr>
            <w:tcW w:w="60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663709E">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围绕肺结节亚肺叶切除的精准外科治疗的临床热点问题，开展基于切割闭合器、超刀等国产缝闭及能量器械支撑下的优化(亚)段间平面切割缝合技术及血管离断技术研究。结合目前的肺肿瘤外科外科腔镜治疗一体化平台，开展国产创新高端微创外科医疗器械的临床效果、安全性、可靠性的临床应用评价研究，提出创新性意见并完成验证，为腔镜下肺结节外科规范化治疗、肺结节患者快速康复提供助力，加快符合中国国情的国产外科器械替代进口产品进程。</w:t>
            </w:r>
          </w:p>
        </w:tc>
      </w:tr>
      <w:tr w14:paraId="009721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14:paraId="59047CFD">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21" w:firstLineChars="9"/>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A52</w:t>
            </w:r>
          </w:p>
        </w:tc>
        <w:tc>
          <w:tcPr>
            <w:tcW w:w="23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195D035">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腔镜系统：国产多模态腔镜系统对于精准肺段及亚段联合切除术的手术规划与实施的有效性、安全性的研究</w:t>
            </w:r>
          </w:p>
        </w:tc>
        <w:tc>
          <w:tcPr>
            <w:tcW w:w="60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559348C">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围绕胸外科肺部磨玻璃结节术中精确定位及肺段、肺亚段切除切缘安全距离的问题，开展基于融合4K高清、3D成像、荧光、适时反馈等功能的国产多模态腔镜系统进行精准肺段及亚段联合切除术的手术规划及实施的技术研究。结合肺部影像的三维重建，利用国产多模态数字化手术平台，进行肺部磨玻璃结节的精确定位，显示血管、支气管的解剖走行及个体变异，标记切缘安全距离，模拟肺段及亚段联合切除的手术流程，验证手术规划与实施的有效性和安全性，建立磨玻璃结节无创定位，手术导航的数字化规划系统，开展国产创新高端微创外科医疗数字化平台研发及临床安全性、有效性、准确性的应用评价研究，推动国产腔镜系统数字化、智能化创新，加快国产高端腔镜系统替代进口产品的进程。</w:t>
            </w:r>
          </w:p>
        </w:tc>
      </w:tr>
      <w:tr w14:paraId="51A953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5"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14:paraId="6B36F7EB">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21" w:firstLineChars="9"/>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A53</w:t>
            </w:r>
          </w:p>
        </w:tc>
        <w:tc>
          <w:tcPr>
            <w:tcW w:w="23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1263B7A">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超声刀：超声刀在腹腔镜下宫颈癌根治术应用中的有效性和安全性临床研究</w:t>
            </w:r>
          </w:p>
        </w:tc>
        <w:tc>
          <w:tcPr>
            <w:tcW w:w="60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5B8178D">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聚焦腔镜在早期宫颈癌手术中盆腔深部操作空间狭窄和神经血管束精准保护的临床难题，利用对比迈瑞超声刀想对传统超声刀在缩短主韧带处理时间、降低泌尿系统损伤率、保留膀胱直肠自主神经功能的精细化操作优势。采用随机对照入组方式，统计使用迈瑞超声刀组与传统超声刀组患者手术时间、出血量，淋巴结清扫数目，术后拔除尿管时间、术后并发症等指标，从而分析迈瑞超声刀械在宫颈癌根治术应用中的有效性和安全性。构建宫颈癌腔镜手术的精准解剖标准，突破妇科肿瘤微创手术的"盲区"技术瓶颈，结合术中实时反馈数据，优化国产超声刀参数和算法，推动我国高端医疗器械产业的发展，增强自主创新能力和国际竞争力。</w:t>
            </w:r>
          </w:p>
        </w:tc>
      </w:tr>
      <w:tr w14:paraId="04952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14:paraId="25B7EF17">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21" w:firstLineChars="9"/>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A54</w:t>
            </w:r>
          </w:p>
        </w:tc>
        <w:tc>
          <w:tcPr>
            <w:tcW w:w="23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0977C3D">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腔镜系统：基于动脉先行理念，3D4K荧光联合磁导航及三维重建等技术在精准亚肺叶切除手术中的应用</w:t>
            </w:r>
          </w:p>
        </w:tc>
        <w:tc>
          <w:tcPr>
            <w:tcW w:w="60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08D274F">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围绕肺微创外科精准手术中肺段及联合肺段切除边缘定位困难问题，开展基于融合 4K、3D、荧光、磁导航引导功能的国产多模态腔镜系统的标准化解剖性肺段和联合肺段精准切除手术技术研究；结合已有外科器械研发平台，开展国产创新高端微创外科医疗器械的临床效果、安全性、可靠性的临床应用评价研究，提出创新性意见并完成验证，为腔镜下肺部肿瘤手术规范化提供标准方案，加快国产高端腔镜设备替代进口产品进程。</w:t>
            </w:r>
          </w:p>
        </w:tc>
      </w:tr>
      <w:tr w14:paraId="2CD0A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14:paraId="2F0CF416">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21" w:firstLineChars="9"/>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A55</w:t>
            </w:r>
          </w:p>
        </w:tc>
        <w:tc>
          <w:tcPr>
            <w:tcW w:w="23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402E0B7">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吻合器：基于电动血管专用吻合器在单孔精准肺段切除术应用体系的建立及验证</w:t>
            </w:r>
          </w:p>
          <w:p w14:paraId="62855DAD">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p>
        </w:tc>
        <w:tc>
          <w:tcPr>
            <w:tcW w:w="60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A23419E">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围绕单孔精准肺段切除中，肺段血管气管位置深、管径细、角度差等问题，开展基于电动血管专用吻合器在肺手术中血管离断的应用体系场景的建立，应用电动血管专用吻合器在肺段切除术中具有显著优势： 1. 精准高效：电动驱动实现稳定、快速的血管离断与吻合，减少手动操作误差，提升手术精确度。2. 减少误伤：切割闭合器更加小巧灵活，特别适合角度不佳位置深的血管及气管的离断。3. 降低并发症：自动化闭合技术有效减少出血及吻合口漏风险，术后恢复快，并发症率低于传统缝合。 结合已有外科器械研发平台，开展国产创新高端微创外科医疗器械的临床效果、安全性、可靠性的临床应用评价研究，提出创新性意见并完成大规模验证，为单孔精准肺段手术规范化提供标准方案，加快国产高端腔镜设备替代进口产品进程。</w:t>
            </w:r>
          </w:p>
        </w:tc>
      </w:tr>
      <w:tr w14:paraId="009B1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14:paraId="10A945D0">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43" w:firstLineChars="18"/>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A56</w:t>
            </w:r>
          </w:p>
        </w:tc>
        <w:tc>
          <w:tcPr>
            <w:tcW w:w="23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DB29DDB">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吻合器：国产腔镜切割闭合器在恶性肿瘤手术中的应用研究</w:t>
            </w:r>
          </w:p>
        </w:tc>
        <w:tc>
          <w:tcPr>
            <w:tcW w:w="60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0B379CE">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围绕腔镜切割闭合器机械吻合后吻合口出血、吻合口漏的问题，基于具有主动调速功能的国产电动吻合器，针对不同病理状态（肿瘤分期、是否新辅助治疗）的肺、胃、肠手术，开展不同击发策略（预压榨时间、不同击发速度）下的临床效果、安全性、可靠性的临床应用研究，提出改进建议以提升产品的性能和质量，研究建立基于国产主动调速腔镜吻合器的机械吻合标准方案，通过高端引领和基层应用，降低手术风险、提高医疗水平。</w:t>
            </w:r>
          </w:p>
        </w:tc>
      </w:tr>
      <w:tr w14:paraId="1A0E9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7"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14:paraId="66BB0A30">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43" w:firstLineChars="18"/>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A57</w:t>
            </w:r>
          </w:p>
        </w:tc>
        <w:tc>
          <w:tcPr>
            <w:tcW w:w="23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6796479">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ascii="Times New Roman" w:hAnsi="Times New Roman" w:cs="Times New Roman" w:eastAsiaTheme="minorEastAsia"/>
                <w:iCs/>
                <w:color w:val="auto"/>
                <w:sz w:val="24"/>
                <w:szCs w:val="24"/>
                <w:lang w:val="en-US" w:eastAsia="zh-CN" w:bidi="ar-SA"/>
              </w:rPr>
            </w:pPr>
            <w:r>
              <w:rPr>
                <w:rFonts w:hint="default" w:cs="Times New Roman" w:eastAsiaTheme="minorEastAsia"/>
                <w:color w:val="auto"/>
                <w:sz w:val="24"/>
                <w:szCs w:val="24"/>
              </w:rPr>
              <w:t>基于多模态超声的症状性颈动脉狭窄不同治疗方法短期疗效全因素预测模型的研究</w:t>
            </w:r>
          </w:p>
        </w:tc>
        <w:tc>
          <w:tcPr>
            <w:tcW w:w="60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44E8B07">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ascii="Times New Roman" w:hAnsi="Times New Roman" w:cs="Times New Roman" w:eastAsiaTheme="minorEastAsia"/>
                <w:iCs/>
                <w:color w:val="auto"/>
                <w:sz w:val="24"/>
                <w:szCs w:val="24"/>
                <w:lang w:val="en-US" w:eastAsia="zh-CN" w:bidi="ar-SA"/>
              </w:rPr>
            </w:pPr>
            <w:r>
              <w:rPr>
                <w:rFonts w:hint="default" w:cs="Times New Roman" w:eastAsiaTheme="minorEastAsia"/>
                <w:color w:val="auto"/>
                <w:sz w:val="24"/>
                <w:szCs w:val="24"/>
              </w:rPr>
              <w:t>针对颈动脉硬化性狭窄选择治疗方案的问题，通过分析总结症状性颈动脉狭窄患者早期临床基线资料和颈动脉超声形态结构学指标、血流动力学指标、弹性生理学指标（脉搏波速度、粘弹性参数等）等全方位客观因素与治疗方法短期疗效（显著、有效、无效）的相关性，建立基于多参数的短期疗效预测模型，为临床合理选择治疗方案提供科学依据。</w:t>
            </w:r>
          </w:p>
        </w:tc>
      </w:tr>
      <w:tr w14:paraId="38C96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8" w:hRule="atLeast"/>
          <w:jc w:val="center"/>
        </w:trPr>
        <w:tc>
          <w:tcPr>
            <w:tcW w:w="1149" w:type="dxa"/>
            <w:tcBorders>
              <w:top w:val="single" w:color="auto" w:sz="4" w:space="0"/>
              <w:left w:val="single" w:color="auto" w:sz="4" w:space="0"/>
              <w:bottom w:val="single" w:color="auto" w:sz="4" w:space="0"/>
              <w:right w:val="single" w:color="auto" w:sz="4" w:space="0"/>
            </w:tcBorders>
            <w:vAlign w:val="center"/>
          </w:tcPr>
          <w:p w14:paraId="6C1732C6">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43" w:firstLineChars="18"/>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A58</w:t>
            </w:r>
          </w:p>
        </w:tc>
        <w:tc>
          <w:tcPr>
            <w:tcW w:w="239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22D82C4">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ascii="Times New Roman" w:hAnsi="Times New Roman" w:cs="Times New Roman" w:eastAsiaTheme="minorEastAsia"/>
                <w:iCs/>
                <w:color w:val="auto"/>
                <w:sz w:val="24"/>
                <w:szCs w:val="24"/>
                <w:lang w:val="en-US" w:eastAsia="zh-CN" w:bidi="ar-SA"/>
              </w:rPr>
            </w:pPr>
            <w:r>
              <w:rPr>
                <w:rFonts w:hint="default" w:cs="Times New Roman" w:eastAsiaTheme="minorEastAsia"/>
                <w:color w:val="auto"/>
                <w:sz w:val="24"/>
                <w:szCs w:val="24"/>
              </w:rPr>
              <w:t>超声辐照调控斑块内新生血管成熟度的作用及机制研究</w:t>
            </w:r>
          </w:p>
        </w:tc>
        <w:tc>
          <w:tcPr>
            <w:tcW w:w="603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2EFAB87">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ascii="Times New Roman" w:hAnsi="Times New Roman" w:cs="Times New Roman" w:eastAsiaTheme="minorEastAsia"/>
                <w:iCs/>
                <w:color w:val="auto"/>
                <w:sz w:val="24"/>
                <w:szCs w:val="24"/>
                <w:lang w:val="en-US" w:eastAsia="zh-CN" w:bidi="ar-SA"/>
              </w:rPr>
            </w:pPr>
            <w:r>
              <w:rPr>
                <w:rFonts w:hint="default" w:cs="Times New Roman" w:eastAsiaTheme="minorEastAsia"/>
                <w:color w:val="auto"/>
                <w:sz w:val="24"/>
                <w:szCs w:val="24"/>
              </w:rPr>
              <w:t>针对动脉粥样硬化斑块内出血引发的心脑血管事件，以斑块内新生血管成熟度为研究核心，通过整合包括超声造影在内的多种影像学技术、模式动物实验及转录组测序等多种研究方法，探索超声辐照在促进周细胞募集、分化及斑块内新生血管成熟方面的作用、最优参数及分子机制，为超声辐照治疗动脉粥样硬化斑块提供新的科学依据，并为该疾病的治疗策略开发潜在的新靶点。</w:t>
            </w:r>
          </w:p>
        </w:tc>
      </w:tr>
      <w:tr w14:paraId="32A6E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1" w:hRule="atLeast"/>
          <w:jc w:val="center"/>
        </w:trPr>
        <w:tc>
          <w:tcPr>
            <w:tcW w:w="0" w:type="auto"/>
            <w:vAlign w:val="center"/>
          </w:tcPr>
          <w:p w14:paraId="30930055">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left="0" w:leftChars="0" w:firstLine="0" w:firstLineChars="0"/>
              <w:jc w:val="both"/>
              <w:textAlignment w:val="auto"/>
              <w:rPr>
                <w:rFonts w:hint="default" w:cs="Times New Roman" w:eastAsiaTheme="minorEastAsia"/>
                <w:color w:val="auto"/>
                <w:sz w:val="24"/>
                <w:szCs w:val="24"/>
                <w:lang w:val="en-US" w:eastAsia="zh-CN"/>
              </w:rPr>
            </w:pPr>
          </w:p>
          <w:p w14:paraId="0951EFEE">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left="0" w:leftChars="0" w:firstLine="240" w:firstLineChars="100"/>
              <w:jc w:val="both"/>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A59</w:t>
            </w:r>
          </w:p>
        </w:tc>
        <w:tc>
          <w:tcPr>
            <w:tcW w:w="0" w:type="auto"/>
            <w:shd w:val="clear" w:color="auto" w:fill="auto"/>
            <w:vAlign w:val="center"/>
          </w:tcPr>
          <w:p w14:paraId="504155D2">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ascii="Times New Roman" w:hAnsi="Times New Roman" w:cs="Times New Roman" w:eastAsiaTheme="minorEastAsia"/>
                <w:iCs/>
                <w:color w:val="auto"/>
                <w:sz w:val="24"/>
                <w:szCs w:val="24"/>
                <w:lang w:val="en-US" w:eastAsia="zh-CN" w:bidi="ar-SA"/>
              </w:rPr>
            </w:pPr>
            <w:r>
              <w:rPr>
                <w:rFonts w:hint="default" w:cs="Times New Roman" w:eastAsiaTheme="minorEastAsia"/>
                <w:color w:val="auto"/>
                <w:sz w:val="24"/>
                <w:szCs w:val="24"/>
              </w:rPr>
              <w:t>基于多模态影像与智能定量技术的急性心肌梗死心肌灌注定量评估及预后预测模型构建</w:t>
            </w:r>
          </w:p>
        </w:tc>
        <w:tc>
          <w:tcPr>
            <w:tcW w:w="6035" w:type="dxa"/>
            <w:shd w:val="clear" w:color="auto" w:fill="auto"/>
            <w:vAlign w:val="center"/>
          </w:tcPr>
          <w:p w14:paraId="1E92D4B3">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ascii="Times New Roman" w:hAnsi="Times New Roman" w:cs="Times New Roman" w:eastAsiaTheme="minorEastAsia"/>
                <w:iCs/>
                <w:color w:val="auto"/>
                <w:sz w:val="24"/>
                <w:szCs w:val="24"/>
                <w:lang w:val="en-US" w:eastAsia="zh-CN" w:bidi="ar-SA"/>
              </w:rPr>
            </w:pPr>
            <w:r>
              <w:rPr>
                <w:rFonts w:hint="default" w:cs="Times New Roman" w:eastAsiaTheme="minorEastAsia"/>
                <w:color w:val="auto"/>
                <w:sz w:val="24"/>
                <w:szCs w:val="24"/>
              </w:rPr>
              <w:t>围绕急性冠脉综合征（ACS）患者再灌注损伤发生率高、检出率低，缺乏动态监测体系指导个体化抗血小板及再灌注策略，创建AI驱动的"灌注-运动-形态"三维评估模型，建立基于AI的多模态心肌造影定量评估体系，为ACS患者动态监测决策支持系统。</w:t>
            </w:r>
          </w:p>
        </w:tc>
      </w:tr>
      <w:tr w14:paraId="6712BD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8" w:hRule="atLeast"/>
          <w:jc w:val="center"/>
        </w:trPr>
        <w:tc>
          <w:tcPr>
            <w:tcW w:w="0" w:type="auto"/>
            <w:vAlign w:val="center"/>
          </w:tcPr>
          <w:p w14:paraId="7282CF9F">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left="0" w:leftChars="0" w:firstLine="240" w:firstLineChars="100"/>
              <w:jc w:val="both"/>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A60</w:t>
            </w:r>
          </w:p>
        </w:tc>
        <w:tc>
          <w:tcPr>
            <w:tcW w:w="0" w:type="auto"/>
            <w:shd w:val="clear" w:color="auto" w:fill="auto"/>
            <w:vAlign w:val="center"/>
          </w:tcPr>
          <w:p w14:paraId="33F41C5D">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ascii="Times New Roman" w:hAnsi="Times New Roman" w:cs="Times New Roman" w:eastAsiaTheme="minorEastAsia"/>
                <w:iCs/>
                <w:color w:val="auto"/>
                <w:sz w:val="24"/>
                <w:szCs w:val="24"/>
                <w:lang w:val="en-US" w:eastAsia="zh-CN" w:bidi="ar-SA"/>
              </w:rPr>
            </w:pPr>
            <w:r>
              <w:rPr>
                <w:rFonts w:hint="default" w:cs="Times New Roman" w:eastAsiaTheme="minorEastAsia"/>
                <w:color w:val="auto"/>
                <w:sz w:val="24"/>
                <w:szCs w:val="24"/>
              </w:rPr>
              <w:t>基于多模态影像组学和临床特征的人工智能模型预测乳腺癌新辅助化疗疗效的研究</w:t>
            </w:r>
          </w:p>
        </w:tc>
        <w:tc>
          <w:tcPr>
            <w:tcW w:w="6035" w:type="dxa"/>
            <w:shd w:val="clear" w:color="auto" w:fill="auto"/>
            <w:vAlign w:val="center"/>
          </w:tcPr>
          <w:p w14:paraId="482F304F">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ascii="Times New Roman" w:hAnsi="Times New Roman" w:cs="Times New Roman" w:eastAsiaTheme="minorEastAsia"/>
                <w:iCs/>
                <w:color w:val="auto"/>
                <w:sz w:val="24"/>
                <w:szCs w:val="24"/>
                <w:lang w:val="en-US" w:eastAsia="zh-CN" w:bidi="ar-SA"/>
              </w:rPr>
            </w:pPr>
            <w:r>
              <w:rPr>
                <w:rFonts w:hint="default" w:cs="Times New Roman" w:eastAsiaTheme="minorEastAsia"/>
                <w:color w:val="auto"/>
                <w:sz w:val="24"/>
                <w:szCs w:val="24"/>
              </w:rPr>
              <w:t>乳腺癌新辅助化疗后病理反应的早期预测对优化个体化治疗策略至关重要。针对疗效早期预测这一临床需求，基于多模态影像组学，融合超声新技术和临床病理特征，构建人工智能预测模型，以实现对乳腺癌新辅助化疗后病理完全缓解的精准预测，并验证模型在临床实践中的有效性。</w:t>
            </w:r>
          </w:p>
        </w:tc>
      </w:tr>
      <w:tr w14:paraId="550B4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4" w:hRule="atLeast"/>
          <w:jc w:val="center"/>
        </w:trPr>
        <w:tc>
          <w:tcPr>
            <w:tcW w:w="0" w:type="auto"/>
            <w:vAlign w:val="center"/>
          </w:tcPr>
          <w:p w14:paraId="165DADA3">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A61</w:t>
            </w:r>
          </w:p>
        </w:tc>
        <w:tc>
          <w:tcPr>
            <w:tcW w:w="0" w:type="auto"/>
            <w:shd w:val="clear" w:color="auto" w:fill="auto"/>
            <w:vAlign w:val="center"/>
          </w:tcPr>
          <w:p w14:paraId="6B5EBFC4">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ascii="Times New Roman" w:hAnsi="Times New Roman" w:cs="Times New Roman" w:eastAsiaTheme="minorEastAsia"/>
                <w:iCs/>
                <w:color w:val="auto"/>
                <w:sz w:val="24"/>
                <w:szCs w:val="24"/>
                <w:lang w:val="en-US" w:eastAsia="zh-CN" w:bidi="ar-SA"/>
              </w:rPr>
            </w:pPr>
            <w:r>
              <w:rPr>
                <w:rFonts w:hint="default" w:cs="Times New Roman" w:eastAsiaTheme="minorEastAsia"/>
                <w:color w:val="auto"/>
                <w:sz w:val="24"/>
                <w:szCs w:val="24"/>
              </w:rPr>
              <w:t>多参数超声联合中西医多模态特征构建糖尿病足风险预测模型研究</w:t>
            </w:r>
          </w:p>
        </w:tc>
        <w:tc>
          <w:tcPr>
            <w:tcW w:w="6035" w:type="dxa"/>
            <w:shd w:val="clear" w:color="auto" w:fill="auto"/>
            <w:vAlign w:val="center"/>
          </w:tcPr>
          <w:p w14:paraId="32BF4D6D">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ascii="Times New Roman" w:hAnsi="Times New Roman" w:cs="Times New Roman" w:eastAsiaTheme="minorEastAsia"/>
                <w:iCs/>
                <w:color w:val="auto"/>
                <w:sz w:val="24"/>
                <w:szCs w:val="24"/>
                <w:lang w:val="en-US" w:eastAsia="zh-CN" w:bidi="ar-SA"/>
              </w:rPr>
            </w:pPr>
            <w:r>
              <w:rPr>
                <w:rFonts w:hint="default" w:cs="Times New Roman" w:eastAsiaTheme="minorEastAsia"/>
                <w:color w:val="auto"/>
                <w:sz w:val="24"/>
                <w:szCs w:val="24"/>
              </w:rPr>
              <w:t>糖尿病足（DF）作为糖尿病晚期严重的慢性并发症之一，具有高致残率和难愈性特点，拟采用多参数超声包括超微血流成像、剪切波弹性成像、粘弹性成像及超声造影，同时结合临床特征及中医辨证特征构建糖尿病足风险预测模型，通过特征选择算法筛选关键变量，对比XGboost、随机森林等模型，实现对DF风险的早期预警，为中西医协同干预提供决策工具，进而提高患者生存质量，改善预后。</w:t>
            </w:r>
          </w:p>
        </w:tc>
      </w:tr>
      <w:tr w14:paraId="78012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8" w:hRule="atLeast"/>
          <w:jc w:val="center"/>
        </w:trPr>
        <w:tc>
          <w:tcPr>
            <w:tcW w:w="0" w:type="auto"/>
            <w:vAlign w:val="center"/>
          </w:tcPr>
          <w:p w14:paraId="64940288">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43" w:firstLineChars="18"/>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A62</w:t>
            </w:r>
          </w:p>
        </w:tc>
        <w:tc>
          <w:tcPr>
            <w:tcW w:w="0" w:type="auto"/>
            <w:shd w:val="clear" w:color="auto" w:fill="auto"/>
            <w:vAlign w:val="center"/>
          </w:tcPr>
          <w:p w14:paraId="77BC439C">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ascii="Times New Roman" w:hAnsi="Times New Roman" w:cs="Times New Roman" w:eastAsiaTheme="minorEastAsia"/>
                <w:iCs/>
                <w:color w:val="auto"/>
                <w:sz w:val="24"/>
                <w:szCs w:val="24"/>
                <w:lang w:val="en-US" w:eastAsia="zh-CN" w:bidi="ar-SA"/>
              </w:rPr>
            </w:pPr>
            <w:r>
              <w:rPr>
                <w:rFonts w:hint="default" w:cs="Times New Roman" w:eastAsiaTheme="minorEastAsia"/>
                <w:color w:val="auto"/>
                <w:sz w:val="24"/>
                <w:szCs w:val="24"/>
              </w:rPr>
              <w:t>基于三维超声融合图像可视化技术的肝肿瘤消融导航系统构建与应用</w:t>
            </w:r>
          </w:p>
        </w:tc>
        <w:tc>
          <w:tcPr>
            <w:tcW w:w="6035" w:type="dxa"/>
            <w:shd w:val="clear" w:color="auto" w:fill="auto"/>
            <w:vAlign w:val="center"/>
          </w:tcPr>
          <w:p w14:paraId="50132743">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ascii="Times New Roman" w:hAnsi="Times New Roman" w:cs="Times New Roman" w:eastAsiaTheme="minorEastAsia"/>
                <w:iCs/>
                <w:color w:val="auto"/>
                <w:sz w:val="24"/>
                <w:szCs w:val="24"/>
                <w:lang w:val="en-US" w:eastAsia="zh-CN" w:bidi="ar-SA"/>
              </w:rPr>
            </w:pPr>
            <w:r>
              <w:rPr>
                <w:rFonts w:hint="default" w:cs="Times New Roman" w:eastAsiaTheme="minorEastAsia"/>
                <w:color w:val="auto"/>
                <w:sz w:val="24"/>
                <w:szCs w:val="24"/>
              </w:rPr>
              <w:t>围绕肝癌精准消融的问题，评估基于三维超声融合图像可视化技术的肿瘤消融导航系统在肝脏肿瘤消融中的临床价值，建立和完善其临床应用解决方案，达到精准治疗的目的。</w:t>
            </w:r>
          </w:p>
        </w:tc>
      </w:tr>
      <w:tr w14:paraId="5E6C9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jc w:val="center"/>
        </w:trPr>
        <w:tc>
          <w:tcPr>
            <w:tcW w:w="0" w:type="auto"/>
            <w:vAlign w:val="center"/>
          </w:tcPr>
          <w:p w14:paraId="5BC170F5">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43" w:firstLineChars="18"/>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A63</w:t>
            </w:r>
          </w:p>
        </w:tc>
        <w:tc>
          <w:tcPr>
            <w:tcW w:w="0" w:type="auto"/>
            <w:shd w:val="clear" w:color="auto" w:fill="auto"/>
            <w:vAlign w:val="center"/>
          </w:tcPr>
          <w:p w14:paraId="6BCB2A23">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ascii="Times New Roman" w:hAnsi="Times New Roman" w:cs="Times New Roman" w:eastAsiaTheme="minorEastAsia"/>
                <w:iCs/>
                <w:color w:val="auto"/>
                <w:sz w:val="24"/>
                <w:szCs w:val="24"/>
                <w:lang w:val="en-US" w:eastAsia="zh-CN" w:bidi="ar-SA"/>
              </w:rPr>
            </w:pPr>
            <w:r>
              <w:rPr>
                <w:rFonts w:hint="default" w:cs="Times New Roman" w:eastAsiaTheme="minorEastAsia"/>
                <w:color w:val="auto"/>
                <w:sz w:val="24"/>
                <w:szCs w:val="24"/>
              </w:rPr>
              <w:t xml:space="preserve">基于多参数超声的乳腺病变诊断一体化平台构建及临床应用研究 </w:t>
            </w:r>
          </w:p>
        </w:tc>
        <w:tc>
          <w:tcPr>
            <w:tcW w:w="6035" w:type="dxa"/>
            <w:shd w:val="clear" w:color="auto" w:fill="auto"/>
            <w:vAlign w:val="center"/>
          </w:tcPr>
          <w:p w14:paraId="6AAF1A14">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ascii="Times New Roman" w:hAnsi="Times New Roman" w:cs="Times New Roman" w:eastAsiaTheme="minorEastAsia"/>
                <w:iCs/>
                <w:color w:val="auto"/>
                <w:sz w:val="24"/>
                <w:szCs w:val="24"/>
                <w:lang w:val="en-US" w:eastAsia="zh-CN" w:bidi="ar-SA"/>
              </w:rPr>
            </w:pPr>
            <w:r>
              <w:rPr>
                <w:rFonts w:hint="default" w:cs="Times New Roman" w:eastAsiaTheme="minorEastAsia"/>
                <w:color w:val="auto"/>
                <w:sz w:val="24"/>
                <w:szCs w:val="24"/>
              </w:rPr>
              <w:t>聚焦乳腺病变的全周期精准诊疗，集成超声黏弹性成像、微血流成像及超声造影等多参数超声技术，构建集早期筛查、良恶性鉴别、分级评估及疗效监测于一体的智能化诊断平台。研究重点分析多模态超声参数（包括组织黏弹性模量、微血管构型、灌注动力学特征等）与肿瘤生物学行为的定量关联，建立多维度一体化诊断模型，为肿瘤性病变提供无创、动态、可视化的精准诊断工具，辅助制定个体化诊疗方案，降低过度诊疗风险，改善患者生存质量。</w:t>
            </w:r>
          </w:p>
        </w:tc>
      </w:tr>
      <w:tr w14:paraId="37350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0" w:type="auto"/>
            <w:vAlign w:val="center"/>
          </w:tcPr>
          <w:p w14:paraId="60BB1AFA">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43" w:firstLineChars="18"/>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A64</w:t>
            </w:r>
          </w:p>
        </w:tc>
        <w:tc>
          <w:tcPr>
            <w:tcW w:w="0" w:type="auto"/>
            <w:shd w:val="clear" w:color="auto" w:fill="auto"/>
            <w:vAlign w:val="center"/>
          </w:tcPr>
          <w:p w14:paraId="512E8141">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ascii="Times New Roman" w:hAnsi="Times New Roman" w:cs="Times New Roman" w:eastAsiaTheme="minorEastAsia"/>
                <w:iCs/>
                <w:color w:val="auto"/>
                <w:sz w:val="24"/>
                <w:szCs w:val="24"/>
                <w:lang w:val="en-US" w:eastAsia="zh-CN" w:bidi="ar-SA"/>
              </w:rPr>
            </w:pPr>
            <w:r>
              <w:rPr>
                <w:rFonts w:hint="default" w:cs="Times New Roman" w:eastAsiaTheme="minorEastAsia"/>
                <w:color w:val="auto"/>
                <w:sz w:val="24"/>
                <w:szCs w:val="24"/>
              </w:rPr>
              <w:t>多模态术中超声技术评估颈椎病脊髓损伤及构建疗效预测模型</w:t>
            </w:r>
          </w:p>
        </w:tc>
        <w:tc>
          <w:tcPr>
            <w:tcW w:w="6035" w:type="dxa"/>
            <w:shd w:val="clear" w:color="auto" w:fill="auto"/>
            <w:vAlign w:val="center"/>
          </w:tcPr>
          <w:p w14:paraId="1823A147">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ascii="Times New Roman" w:hAnsi="Times New Roman" w:cs="Times New Roman" w:eastAsiaTheme="minorEastAsia"/>
                <w:iCs/>
                <w:color w:val="auto"/>
                <w:sz w:val="24"/>
                <w:szCs w:val="24"/>
                <w:lang w:val="en-US" w:eastAsia="zh-CN" w:bidi="ar-SA"/>
              </w:rPr>
            </w:pPr>
            <w:r>
              <w:rPr>
                <w:rFonts w:hint="default" w:cs="Times New Roman" w:eastAsiaTheme="minorEastAsia"/>
                <w:color w:val="auto"/>
                <w:sz w:val="24"/>
                <w:szCs w:val="24"/>
              </w:rPr>
              <w:t>脊髓型颈椎病（CSM）是颈椎病中最严重的类型，针对其诊治难题，利用动物模型探讨多模态超声图像特征与脊髓病理学改变的关系，并提出利用多模态超声组学预测CSM术后疗效的设想。通过整合多模态超声图像，提取多维度CSM生物学定量特征（形态学、异质性、硬度学和血流灌注学），协助术中及时决策是否需要扩大减压范围和程度或采取更有利的联合治疗（药物+手术）方式，提高术后疗效，降低再次手术率；同时进行数据挖掘，建立个体化预测模型，实现对患者术后神经功能恢复情况的精准预测，选择最优算法应用于以后拟开展的临床试验中，建立高效的CSM患者术后疗效预测模型。</w:t>
            </w:r>
          </w:p>
        </w:tc>
      </w:tr>
      <w:tr w14:paraId="32C97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jc w:val="center"/>
        </w:trPr>
        <w:tc>
          <w:tcPr>
            <w:tcW w:w="0" w:type="auto"/>
            <w:vAlign w:val="center"/>
          </w:tcPr>
          <w:p w14:paraId="4065CF4A">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43" w:firstLineChars="18"/>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A65</w:t>
            </w:r>
          </w:p>
        </w:tc>
        <w:tc>
          <w:tcPr>
            <w:tcW w:w="0" w:type="auto"/>
            <w:shd w:val="clear" w:color="auto" w:fill="auto"/>
            <w:vAlign w:val="center"/>
          </w:tcPr>
          <w:p w14:paraId="26D95787">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ascii="Times New Roman" w:hAnsi="Times New Roman" w:cs="Times New Roman" w:eastAsiaTheme="minorEastAsia"/>
                <w:iCs/>
                <w:color w:val="auto"/>
                <w:sz w:val="24"/>
                <w:szCs w:val="24"/>
                <w:lang w:val="en-US" w:eastAsia="zh-CN" w:bidi="ar-SA"/>
              </w:rPr>
            </w:pPr>
            <w:r>
              <w:rPr>
                <w:rFonts w:hint="default" w:cs="Times New Roman" w:eastAsiaTheme="minorEastAsia"/>
                <w:color w:val="auto"/>
                <w:sz w:val="24"/>
                <w:szCs w:val="24"/>
              </w:rPr>
              <w:t>多模态超声在评估女性子宫内膜容受性中的临床价值研究</w:t>
            </w:r>
          </w:p>
        </w:tc>
        <w:tc>
          <w:tcPr>
            <w:tcW w:w="6035" w:type="dxa"/>
            <w:shd w:val="clear" w:color="auto" w:fill="auto"/>
            <w:vAlign w:val="center"/>
          </w:tcPr>
          <w:p w14:paraId="13856039">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ascii="Times New Roman" w:hAnsi="Times New Roman" w:cs="Times New Roman" w:eastAsiaTheme="minorEastAsia"/>
                <w:iCs/>
                <w:color w:val="auto"/>
                <w:sz w:val="24"/>
                <w:szCs w:val="24"/>
                <w:lang w:val="en-US" w:eastAsia="zh-CN" w:bidi="ar-SA"/>
              </w:rPr>
            </w:pPr>
            <w:r>
              <w:rPr>
                <w:rFonts w:hint="default" w:cs="Times New Roman" w:eastAsiaTheme="minorEastAsia"/>
                <w:color w:val="auto"/>
                <w:sz w:val="24"/>
                <w:szCs w:val="24"/>
              </w:rPr>
              <w:t>子宫内膜容受性为胚胎着床的关键条件，超声技术因无创性已经广泛应用于子宫内膜容受性的评估，但仍无统一标准。本研究旨在利用二维、三维、子宫内膜蠕动波、微血管定量或弹性等多模态超声成像技术，准确评估监测排卵患者及外受精-胚胎移植女性种植窗期的子宫内膜容受性，建立和完善技术方法的参考指标及评分标准，为临床干预时机的准确选择提供更多的影像学依据。</w:t>
            </w:r>
          </w:p>
        </w:tc>
      </w:tr>
      <w:tr w14:paraId="04FABE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jc w:val="center"/>
        </w:trPr>
        <w:tc>
          <w:tcPr>
            <w:tcW w:w="0" w:type="auto"/>
            <w:vAlign w:val="center"/>
          </w:tcPr>
          <w:p w14:paraId="2228198B">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43" w:firstLineChars="18"/>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A66</w:t>
            </w:r>
          </w:p>
        </w:tc>
        <w:tc>
          <w:tcPr>
            <w:tcW w:w="0" w:type="auto"/>
            <w:shd w:val="clear" w:color="auto" w:fill="auto"/>
            <w:vAlign w:val="center"/>
          </w:tcPr>
          <w:p w14:paraId="5FDFAEA5">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ascii="Times New Roman" w:hAnsi="Times New Roman" w:cs="Times New Roman" w:eastAsiaTheme="minorEastAsia"/>
                <w:iCs/>
                <w:color w:val="auto"/>
                <w:sz w:val="24"/>
                <w:szCs w:val="24"/>
                <w:lang w:val="en-US" w:eastAsia="zh-CN" w:bidi="ar-SA"/>
              </w:rPr>
            </w:pPr>
            <w:r>
              <w:rPr>
                <w:rFonts w:hint="default" w:cs="Times New Roman" w:eastAsiaTheme="minorEastAsia"/>
                <w:color w:val="auto"/>
                <w:sz w:val="24"/>
                <w:szCs w:val="24"/>
              </w:rPr>
              <w:t>超微血流定量技术评估胎盘血管灌注的临床价值</w:t>
            </w:r>
          </w:p>
        </w:tc>
        <w:tc>
          <w:tcPr>
            <w:tcW w:w="6035" w:type="dxa"/>
            <w:shd w:val="clear" w:color="auto" w:fill="auto"/>
            <w:vAlign w:val="center"/>
          </w:tcPr>
          <w:p w14:paraId="46D24C05">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ascii="Times New Roman" w:hAnsi="Times New Roman" w:cs="Times New Roman" w:eastAsiaTheme="minorEastAsia"/>
                <w:iCs/>
                <w:color w:val="auto"/>
                <w:sz w:val="24"/>
                <w:szCs w:val="24"/>
                <w:lang w:val="en-US" w:eastAsia="zh-CN" w:bidi="ar-SA"/>
              </w:rPr>
            </w:pPr>
            <w:r>
              <w:rPr>
                <w:rFonts w:hint="default" w:cs="Times New Roman" w:eastAsiaTheme="minorEastAsia"/>
                <w:color w:val="auto"/>
                <w:sz w:val="24"/>
                <w:szCs w:val="24"/>
              </w:rPr>
              <w:t>胎盘功能不全、胎儿生长受限、子痫前期等胎盘血管相关疾病是围产期早期诊断的难题，通过基于超微血流定量技术评估胎盘微循环灌注情况，联合频谱多普勒评估胎儿及孕妇动脉血流参数，并结合其它影像学指标或解剖学标本(例如血管三维铸型模型)，探究超微血流对胎盘血管相关疾病的临床指导价值。</w:t>
            </w:r>
          </w:p>
        </w:tc>
      </w:tr>
      <w:tr w14:paraId="7B928E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jc w:val="center"/>
        </w:trPr>
        <w:tc>
          <w:tcPr>
            <w:tcW w:w="0" w:type="auto"/>
            <w:vAlign w:val="center"/>
          </w:tcPr>
          <w:p w14:paraId="733B8767">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43" w:firstLineChars="18"/>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A67</w:t>
            </w:r>
          </w:p>
        </w:tc>
        <w:tc>
          <w:tcPr>
            <w:tcW w:w="0" w:type="auto"/>
            <w:shd w:val="clear" w:color="auto" w:fill="auto"/>
            <w:vAlign w:val="center"/>
          </w:tcPr>
          <w:p w14:paraId="6CB0E54E">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ascii="Times New Roman" w:hAnsi="Times New Roman" w:cs="Times New Roman" w:eastAsiaTheme="minorEastAsia"/>
                <w:iCs/>
                <w:color w:val="auto"/>
                <w:sz w:val="24"/>
                <w:szCs w:val="24"/>
                <w:lang w:val="en-US" w:eastAsia="zh-CN" w:bidi="ar-SA"/>
              </w:rPr>
            </w:pPr>
            <w:r>
              <w:rPr>
                <w:rFonts w:hint="default" w:cs="Times New Roman" w:eastAsiaTheme="minorEastAsia"/>
                <w:color w:val="auto"/>
                <w:sz w:val="24"/>
                <w:szCs w:val="24"/>
              </w:rPr>
              <w:t>多模态超声联合人工智能在妇科及儿科领域疾病精准诊疗模型构建与应用</w:t>
            </w:r>
          </w:p>
        </w:tc>
        <w:tc>
          <w:tcPr>
            <w:tcW w:w="6035" w:type="dxa"/>
            <w:shd w:val="clear" w:color="auto" w:fill="auto"/>
            <w:vAlign w:val="center"/>
          </w:tcPr>
          <w:p w14:paraId="5F0B7394">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ascii="Times New Roman" w:hAnsi="Times New Roman" w:cs="Times New Roman" w:eastAsiaTheme="minorEastAsia"/>
                <w:iCs/>
                <w:color w:val="auto"/>
                <w:sz w:val="24"/>
                <w:szCs w:val="24"/>
                <w:lang w:val="en-US" w:eastAsia="zh-CN" w:bidi="ar-SA"/>
              </w:rPr>
            </w:pPr>
            <w:r>
              <w:rPr>
                <w:rFonts w:hint="default" w:cs="Times New Roman" w:eastAsiaTheme="minorEastAsia"/>
                <w:color w:val="auto"/>
                <w:sz w:val="24"/>
                <w:szCs w:val="24"/>
              </w:rPr>
              <w:t>针对临床超声对子宫附件良恶性病变、小儿急腹症诊断及严重程度评估的智能分类不足，基于此构建人工智能（AI）自动识别疾病切面及测量相关参数模型，观察其辅助超声诊断疾病的临床应用价值，预期该评分模型能为临床提供更准确、高效的诊断工具，指导患者的个体化治疗方案。</w:t>
            </w:r>
          </w:p>
        </w:tc>
      </w:tr>
      <w:tr w14:paraId="2288E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0" w:type="auto"/>
            <w:vAlign w:val="center"/>
          </w:tcPr>
          <w:p w14:paraId="609B56B4">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43" w:firstLineChars="18"/>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A68</w:t>
            </w:r>
          </w:p>
        </w:tc>
        <w:tc>
          <w:tcPr>
            <w:tcW w:w="0" w:type="auto"/>
            <w:shd w:val="clear" w:color="auto" w:fill="auto"/>
            <w:vAlign w:val="center"/>
          </w:tcPr>
          <w:p w14:paraId="096D22D0">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ascii="Times New Roman" w:hAnsi="Times New Roman" w:cs="Times New Roman" w:eastAsiaTheme="minorEastAsia"/>
                <w:iCs/>
                <w:color w:val="auto"/>
                <w:sz w:val="24"/>
                <w:szCs w:val="24"/>
                <w:lang w:val="en-US" w:eastAsia="zh-CN" w:bidi="ar-SA"/>
              </w:rPr>
            </w:pPr>
            <w:r>
              <w:rPr>
                <w:rFonts w:hint="default" w:cs="Times New Roman" w:eastAsiaTheme="minorEastAsia"/>
                <w:color w:val="auto"/>
                <w:sz w:val="24"/>
                <w:szCs w:val="24"/>
              </w:rPr>
              <w:t>盆底超声在围绝经期生殖泌尿综合征患者中的应用</w:t>
            </w:r>
          </w:p>
        </w:tc>
        <w:tc>
          <w:tcPr>
            <w:tcW w:w="6035" w:type="dxa"/>
            <w:shd w:val="clear" w:color="auto" w:fill="auto"/>
            <w:vAlign w:val="center"/>
          </w:tcPr>
          <w:p w14:paraId="3B5160E3">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ascii="Times New Roman" w:hAnsi="Times New Roman" w:cs="Times New Roman" w:eastAsiaTheme="minorEastAsia"/>
                <w:iCs/>
                <w:color w:val="auto"/>
                <w:sz w:val="24"/>
                <w:szCs w:val="24"/>
                <w:lang w:val="en-US" w:eastAsia="zh-CN" w:bidi="ar-SA"/>
              </w:rPr>
            </w:pPr>
            <w:r>
              <w:rPr>
                <w:rFonts w:hint="default" w:cs="Times New Roman" w:eastAsiaTheme="minorEastAsia"/>
                <w:color w:val="auto"/>
                <w:sz w:val="24"/>
                <w:szCs w:val="24"/>
              </w:rPr>
              <w:t>经会阴实时三维盆底超声及肛提肌粘弹性指标在围绝经期生殖泌尿综合征患者中的应用，通过实时三维盆底超声检查，观察围绝经期出现生殖和泌尿系统症状的女性患者盆底结构和功能的变化。通过对比研究，分析前、中、后盆腔的测量数据以及肛提肌多模态弹性指标，评估实时三维盆底超声检查在围绝经期生殖泌尿综合征患者中的诊断和治疗价值。</w:t>
            </w:r>
          </w:p>
        </w:tc>
      </w:tr>
      <w:tr w14:paraId="724D7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jc w:val="center"/>
        </w:trPr>
        <w:tc>
          <w:tcPr>
            <w:tcW w:w="0" w:type="auto"/>
            <w:vAlign w:val="center"/>
          </w:tcPr>
          <w:p w14:paraId="0CCDA2AF">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43" w:firstLineChars="18"/>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A69</w:t>
            </w:r>
          </w:p>
        </w:tc>
        <w:tc>
          <w:tcPr>
            <w:tcW w:w="0" w:type="auto"/>
            <w:shd w:val="clear" w:color="auto" w:fill="auto"/>
            <w:vAlign w:val="center"/>
          </w:tcPr>
          <w:p w14:paraId="79FECBD5">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ascii="Times New Roman" w:hAnsi="Times New Roman" w:cs="Times New Roman" w:eastAsiaTheme="minorEastAsia"/>
                <w:iCs/>
                <w:color w:val="auto"/>
                <w:sz w:val="24"/>
                <w:szCs w:val="24"/>
                <w:lang w:val="en-US" w:eastAsia="zh-CN" w:bidi="ar-SA"/>
              </w:rPr>
            </w:pPr>
            <w:r>
              <w:rPr>
                <w:rFonts w:hint="default" w:cs="Times New Roman" w:eastAsiaTheme="minorEastAsia"/>
                <w:color w:val="auto"/>
                <w:sz w:val="24"/>
                <w:szCs w:val="24"/>
              </w:rPr>
              <w:t>超声心动图智能定量技术应用于临床诊疗指导</w:t>
            </w:r>
          </w:p>
        </w:tc>
        <w:tc>
          <w:tcPr>
            <w:tcW w:w="6035" w:type="dxa"/>
            <w:shd w:val="clear" w:color="auto" w:fill="auto"/>
            <w:vAlign w:val="center"/>
          </w:tcPr>
          <w:p w14:paraId="48FF735C">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eastAsia" w:ascii="Times New Roman" w:hAnsi="Times New Roman" w:cs="Times New Roman" w:eastAsiaTheme="minorEastAsia"/>
                <w:iCs/>
                <w:color w:val="auto"/>
                <w:sz w:val="24"/>
                <w:szCs w:val="24"/>
                <w:lang w:val="en-US" w:eastAsia="zh-CN" w:bidi="ar-SA"/>
              </w:rPr>
            </w:pPr>
            <w:r>
              <w:rPr>
                <w:rFonts w:hint="default" w:cs="Times New Roman" w:eastAsiaTheme="minorEastAsia"/>
                <w:color w:val="auto"/>
                <w:sz w:val="24"/>
                <w:szCs w:val="24"/>
              </w:rPr>
              <w:t>应用超声心动图智能定量分析技术对临床常见心血管疾病及心肺手术对心脏功能的影响进行定量评估，通过精准测量左、右心室容积、射血分数等，以及室壁运动应变分析等参数，为心血管疾病及相关手术治疗对心脏的影响早期评估及精细化管理</w:t>
            </w:r>
            <w:r>
              <w:rPr>
                <w:rFonts w:hint="eastAsia" w:cs="Times New Roman" w:eastAsiaTheme="minorEastAsia"/>
                <w:color w:val="auto"/>
                <w:sz w:val="24"/>
                <w:szCs w:val="24"/>
                <w:lang w:eastAsia="zh-CN"/>
              </w:rPr>
              <w:t>。</w:t>
            </w:r>
          </w:p>
        </w:tc>
      </w:tr>
      <w:tr w14:paraId="5AF53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jc w:val="center"/>
        </w:trPr>
        <w:tc>
          <w:tcPr>
            <w:tcW w:w="0" w:type="auto"/>
            <w:vAlign w:val="center"/>
          </w:tcPr>
          <w:p w14:paraId="54D32D02">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43" w:firstLineChars="18"/>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A70</w:t>
            </w:r>
          </w:p>
        </w:tc>
        <w:tc>
          <w:tcPr>
            <w:tcW w:w="0" w:type="auto"/>
            <w:shd w:val="clear" w:color="000000" w:fill="FFFFFF"/>
            <w:vAlign w:val="center"/>
          </w:tcPr>
          <w:p w14:paraId="4FF150BB">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ascii="Times New Roman" w:hAnsi="Times New Roman" w:cs="Times New Roman" w:eastAsiaTheme="minorEastAsia"/>
                <w:iCs/>
                <w:color w:val="auto"/>
                <w:sz w:val="24"/>
                <w:szCs w:val="24"/>
                <w:lang w:val="en-US" w:eastAsia="zh-CN" w:bidi="ar-SA"/>
              </w:rPr>
            </w:pPr>
            <w:r>
              <w:rPr>
                <w:rFonts w:hint="default" w:cs="Times New Roman" w:eastAsiaTheme="minorEastAsia"/>
                <w:color w:val="auto"/>
                <w:sz w:val="24"/>
                <w:szCs w:val="24"/>
              </w:rPr>
              <w:t>基于心肌声学造影和智能心脏应变分析技术的智能化心肌微循环灌注功能评估体系构建</w:t>
            </w:r>
          </w:p>
        </w:tc>
        <w:tc>
          <w:tcPr>
            <w:tcW w:w="6035" w:type="dxa"/>
            <w:shd w:val="clear" w:color="000000" w:fill="FFFFFF"/>
            <w:vAlign w:val="center"/>
          </w:tcPr>
          <w:p w14:paraId="09A28241">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ascii="Times New Roman" w:hAnsi="Times New Roman" w:cs="Times New Roman" w:eastAsiaTheme="minorEastAsia"/>
                <w:iCs/>
                <w:color w:val="auto"/>
                <w:sz w:val="24"/>
                <w:szCs w:val="24"/>
                <w:lang w:val="en-US" w:eastAsia="zh-CN" w:bidi="ar-SA"/>
              </w:rPr>
            </w:pPr>
            <w:r>
              <w:rPr>
                <w:rFonts w:hint="default" w:cs="Times New Roman" w:eastAsiaTheme="minorEastAsia"/>
                <w:color w:val="auto"/>
                <w:sz w:val="24"/>
                <w:szCs w:val="24"/>
              </w:rPr>
              <w:t>围绕临床上缺乏术前精准评估以及术后即刻心肌微循环再灌注情况评价的有效手段的问题，通过建立"灌注-运动-形态"多维度评估模型，搭建基于心肌声学造影的冠脉微循环灌注和室壁运动智能评估相结合的评估体系，明确不同治疗方案对心肌微循环的影响差异，并开发针对不同冠心病治疗方法疗效动态监测的平台。</w:t>
            </w:r>
          </w:p>
        </w:tc>
      </w:tr>
      <w:tr w14:paraId="4F1B3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jc w:val="center"/>
        </w:trPr>
        <w:tc>
          <w:tcPr>
            <w:tcW w:w="0" w:type="auto"/>
            <w:vAlign w:val="center"/>
          </w:tcPr>
          <w:p w14:paraId="2BF1742A">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43" w:firstLineChars="18"/>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A71</w:t>
            </w:r>
          </w:p>
        </w:tc>
        <w:tc>
          <w:tcPr>
            <w:tcW w:w="0" w:type="auto"/>
            <w:shd w:val="clear" w:color="auto" w:fill="auto"/>
            <w:vAlign w:val="center"/>
          </w:tcPr>
          <w:p w14:paraId="23491A84">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ascii="Times New Roman" w:hAnsi="Times New Roman" w:cs="Times New Roman" w:eastAsiaTheme="minorEastAsia"/>
                <w:iCs/>
                <w:color w:val="auto"/>
                <w:sz w:val="24"/>
                <w:szCs w:val="24"/>
                <w:lang w:val="en-US" w:eastAsia="zh-CN" w:bidi="ar-SA"/>
              </w:rPr>
            </w:pPr>
            <w:r>
              <w:rPr>
                <w:rFonts w:hint="default" w:cs="Times New Roman" w:eastAsiaTheme="minorEastAsia"/>
                <w:color w:val="auto"/>
                <w:sz w:val="24"/>
                <w:szCs w:val="24"/>
              </w:rPr>
              <w:t>基于超声驱动微环境响应型纳米马达的靶向递送系统构建及其改善心肌缺血再灌注的研究</w:t>
            </w:r>
          </w:p>
        </w:tc>
        <w:tc>
          <w:tcPr>
            <w:tcW w:w="6035" w:type="dxa"/>
            <w:shd w:val="clear" w:color="auto" w:fill="auto"/>
            <w:vAlign w:val="center"/>
          </w:tcPr>
          <w:p w14:paraId="53D4C1B3">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ascii="Times New Roman" w:hAnsi="Times New Roman" w:cs="Times New Roman" w:eastAsiaTheme="minorEastAsia"/>
                <w:iCs/>
                <w:color w:val="auto"/>
                <w:sz w:val="24"/>
                <w:szCs w:val="24"/>
                <w:lang w:val="en-US" w:eastAsia="zh-CN" w:bidi="ar-SA"/>
              </w:rPr>
            </w:pPr>
            <w:r>
              <w:rPr>
                <w:rFonts w:hint="default" w:cs="Times New Roman" w:eastAsiaTheme="minorEastAsia"/>
                <w:color w:val="auto"/>
                <w:sz w:val="24"/>
                <w:szCs w:val="24"/>
              </w:rPr>
              <w:t>心肌缺血再灌注（MI/R）后“无复流”病灶区域微循环障碍，药物或传统递送载体依赖血液循环进行输送，无法到达病灶核心区域发挥治疗作用，本项目拟构筑载L-精氨酸超声驱动纳米马达，利用超声成像精准锚定“无复流”区域，突破瘀滞血流屏障将L-精氨酸递送至“无复流”病灶区，响应病灶微环境中高浓度活性氧持续释放NO，促进微环境稳态修复，实现MI/R后“无复流”的多靶点治疗，为急性心肌梗死提供临床治疗新策略。</w:t>
            </w:r>
          </w:p>
        </w:tc>
      </w:tr>
      <w:tr w14:paraId="074C3B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jc w:val="center"/>
        </w:trPr>
        <w:tc>
          <w:tcPr>
            <w:tcW w:w="0" w:type="auto"/>
            <w:vAlign w:val="center"/>
          </w:tcPr>
          <w:p w14:paraId="368E34C3">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43" w:firstLineChars="18"/>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A72</w:t>
            </w:r>
          </w:p>
        </w:tc>
        <w:tc>
          <w:tcPr>
            <w:tcW w:w="0" w:type="auto"/>
            <w:shd w:val="clear" w:color="auto" w:fill="auto"/>
            <w:vAlign w:val="center"/>
          </w:tcPr>
          <w:p w14:paraId="48358D2A">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ascii="Times New Roman" w:hAnsi="Times New Roman" w:cs="Times New Roman" w:eastAsiaTheme="minorEastAsia"/>
                <w:iCs/>
                <w:color w:val="auto"/>
                <w:sz w:val="24"/>
                <w:szCs w:val="24"/>
                <w:lang w:val="en-US" w:eastAsia="zh-CN" w:bidi="ar-SA"/>
              </w:rPr>
            </w:pPr>
            <w:r>
              <w:rPr>
                <w:rFonts w:hint="default" w:cs="Times New Roman" w:eastAsiaTheme="minorEastAsia"/>
                <w:color w:val="auto"/>
                <w:sz w:val="24"/>
                <w:szCs w:val="24"/>
              </w:rPr>
              <w:t>超声新技术在肝肿瘤诊疗评估中的探索研究</w:t>
            </w:r>
          </w:p>
        </w:tc>
        <w:tc>
          <w:tcPr>
            <w:tcW w:w="6035" w:type="dxa"/>
            <w:shd w:val="clear" w:color="auto" w:fill="auto"/>
            <w:vAlign w:val="center"/>
          </w:tcPr>
          <w:p w14:paraId="4401AADE">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ascii="Times New Roman" w:hAnsi="Times New Roman" w:cs="Times New Roman" w:eastAsiaTheme="minorEastAsia"/>
                <w:iCs/>
                <w:color w:val="auto"/>
                <w:sz w:val="24"/>
                <w:szCs w:val="24"/>
                <w:lang w:val="en-US" w:eastAsia="zh-CN" w:bidi="ar-SA"/>
              </w:rPr>
            </w:pPr>
            <w:r>
              <w:rPr>
                <w:rFonts w:hint="default" w:cs="Times New Roman" w:eastAsiaTheme="minorEastAsia"/>
                <w:color w:val="auto"/>
                <w:sz w:val="24"/>
                <w:szCs w:val="24"/>
              </w:rPr>
              <w:t xml:space="preserve">围绕肝脏恶性肿瘤临床诊疗需求，探讨超声新技术（粘弹性成像或显微造影）对肝占位性病变定性诊断和风险评估的价值。并通多参数超声与临床、影像多维度数据联合构建风险预测模型，为肝癌的风险分层和临床决策提供科学依据。 </w:t>
            </w:r>
          </w:p>
        </w:tc>
      </w:tr>
      <w:tr w14:paraId="69E763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7" w:hRule="atLeast"/>
          <w:jc w:val="center"/>
        </w:trPr>
        <w:tc>
          <w:tcPr>
            <w:tcW w:w="0" w:type="auto"/>
            <w:vAlign w:val="center"/>
          </w:tcPr>
          <w:p w14:paraId="1E16E44F">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43" w:firstLineChars="18"/>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A73</w:t>
            </w:r>
          </w:p>
        </w:tc>
        <w:tc>
          <w:tcPr>
            <w:tcW w:w="0" w:type="auto"/>
            <w:shd w:val="clear" w:color="auto" w:fill="auto"/>
            <w:vAlign w:val="center"/>
          </w:tcPr>
          <w:p w14:paraId="3F907F48">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ascii="Times New Roman" w:hAnsi="Times New Roman" w:cs="Times New Roman" w:eastAsiaTheme="minorEastAsia"/>
                <w:iCs/>
                <w:color w:val="auto"/>
                <w:sz w:val="24"/>
                <w:szCs w:val="24"/>
                <w:lang w:val="en-US" w:eastAsia="zh-CN" w:bidi="ar-SA"/>
              </w:rPr>
            </w:pPr>
            <w:r>
              <w:rPr>
                <w:rFonts w:hint="default" w:cs="Times New Roman" w:eastAsiaTheme="minorEastAsia"/>
                <w:color w:val="auto"/>
                <w:sz w:val="24"/>
                <w:szCs w:val="24"/>
              </w:rPr>
              <w:t>多参数超声在慢性肾病进展预测及疗效监测中的应用研究</w:t>
            </w:r>
          </w:p>
        </w:tc>
        <w:tc>
          <w:tcPr>
            <w:tcW w:w="6035" w:type="dxa"/>
            <w:shd w:val="clear" w:color="auto" w:fill="auto"/>
            <w:vAlign w:val="center"/>
          </w:tcPr>
          <w:p w14:paraId="6BA07DDD">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ascii="Times New Roman" w:hAnsi="Times New Roman" w:cs="Times New Roman" w:eastAsiaTheme="minorEastAsia"/>
                <w:iCs/>
                <w:color w:val="auto"/>
                <w:sz w:val="24"/>
                <w:szCs w:val="24"/>
                <w:lang w:val="en-US" w:eastAsia="zh-CN" w:bidi="ar-SA"/>
              </w:rPr>
            </w:pPr>
            <w:r>
              <w:rPr>
                <w:rFonts w:hint="default" w:cs="Times New Roman" w:eastAsiaTheme="minorEastAsia"/>
                <w:color w:val="auto"/>
                <w:sz w:val="24"/>
                <w:szCs w:val="24"/>
              </w:rPr>
              <w:t>围绕慢性肾病进展的早期预测及药物治疗疗效监测，探讨结合灰阶超声、超微血流定量、弹性/粘弹性成像等在构建慢性肾病进展的综合预测模型及中药治疗疗效监测模型中的价值。为早期诊断及个体化管理提供科学依据，以达到为优化临床管理、延缓疾病进展、疗效监测的目的。</w:t>
            </w:r>
          </w:p>
        </w:tc>
      </w:tr>
      <w:tr w14:paraId="7DC2B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jc w:val="center"/>
        </w:trPr>
        <w:tc>
          <w:tcPr>
            <w:tcW w:w="0" w:type="auto"/>
            <w:vAlign w:val="center"/>
          </w:tcPr>
          <w:p w14:paraId="732B3078">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43" w:firstLineChars="18"/>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A74</w:t>
            </w:r>
          </w:p>
        </w:tc>
        <w:tc>
          <w:tcPr>
            <w:tcW w:w="0" w:type="auto"/>
            <w:shd w:val="clear" w:color="auto" w:fill="auto"/>
            <w:vAlign w:val="center"/>
          </w:tcPr>
          <w:p w14:paraId="17272699">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ascii="Times New Roman" w:hAnsi="Times New Roman" w:cs="Times New Roman" w:eastAsiaTheme="minorEastAsia"/>
                <w:iCs/>
                <w:color w:val="auto"/>
                <w:sz w:val="24"/>
                <w:szCs w:val="24"/>
                <w:lang w:val="en-US" w:eastAsia="zh-CN" w:bidi="ar-SA"/>
              </w:rPr>
            </w:pPr>
            <w:r>
              <w:rPr>
                <w:rFonts w:hint="default" w:cs="Times New Roman" w:eastAsiaTheme="minorEastAsia"/>
                <w:color w:val="auto"/>
                <w:sz w:val="24"/>
                <w:szCs w:val="24"/>
              </w:rPr>
              <w:t>多参数超声在定量评估代谢相关脂肪性肝病中的应用研究</w:t>
            </w:r>
          </w:p>
        </w:tc>
        <w:tc>
          <w:tcPr>
            <w:tcW w:w="6035" w:type="dxa"/>
            <w:shd w:val="clear" w:color="auto" w:fill="auto"/>
            <w:vAlign w:val="center"/>
          </w:tcPr>
          <w:p w14:paraId="6F00D714">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ascii="Times New Roman" w:hAnsi="Times New Roman" w:cs="Times New Roman" w:eastAsiaTheme="minorEastAsia"/>
                <w:iCs/>
                <w:color w:val="auto"/>
                <w:sz w:val="24"/>
                <w:szCs w:val="24"/>
                <w:lang w:val="en-US" w:eastAsia="zh-CN" w:bidi="ar-SA"/>
              </w:rPr>
            </w:pPr>
            <w:r>
              <w:rPr>
                <w:rFonts w:hint="default" w:cs="Times New Roman" w:eastAsiaTheme="minorEastAsia"/>
                <w:color w:val="auto"/>
                <w:sz w:val="24"/>
                <w:szCs w:val="24"/>
              </w:rPr>
              <w:t>针对成人或儿童代谢相关脂肪性肝病，围绕包含声衰减成像、纹理分析、剪切波弹性成像、粘弹性成像等的多参数声，评估其在成人或儿童代谢相关脂肪性肝病诊断、分期和监测中的应用价值，为临床提供更精准的诊断工具。</w:t>
            </w:r>
          </w:p>
        </w:tc>
      </w:tr>
      <w:tr w14:paraId="4852A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jc w:val="center"/>
        </w:trPr>
        <w:tc>
          <w:tcPr>
            <w:tcW w:w="0" w:type="auto"/>
            <w:vAlign w:val="center"/>
          </w:tcPr>
          <w:p w14:paraId="333CC592">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43" w:firstLineChars="18"/>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A75</w:t>
            </w:r>
          </w:p>
        </w:tc>
        <w:tc>
          <w:tcPr>
            <w:tcW w:w="0" w:type="auto"/>
            <w:shd w:val="clear" w:color="auto" w:fill="auto"/>
            <w:vAlign w:val="center"/>
          </w:tcPr>
          <w:p w14:paraId="495EFD6E">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ascii="Times New Roman" w:hAnsi="Times New Roman" w:cs="Times New Roman" w:eastAsiaTheme="minorEastAsia"/>
                <w:iCs/>
                <w:color w:val="auto"/>
                <w:sz w:val="24"/>
                <w:szCs w:val="24"/>
                <w:lang w:val="en-US" w:eastAsia="zh-CN" w:bidi="ar-SA"/>
              </w:rPr>
            </w:pPr>
            <w:r>
              <w:rPr>
                <w:rFonts w:hint="default" w:cs="Times New Roman" w:eastAsiaTheme="minorEastAsia"/>
                <w:color w:val="auto"/>
                <w:sz w:val="24"/>
                <w:szCs w:val="24"/>
              </w:rPr>
              <w:t>多模态超声定量参数评估肝损伤的研究</w:t>
            </w:r>
          </w:p>
        </w:tc>
        <w:tc>
          <w:tcPr>
            <w:tcW w:w="6035" w:type="dxa"/>
            <w:shd w:val="clear" w:color="auto" w:fill="auto"/>
            <w:vAlign w:val="center"/>
          </w:tcPr>
          <w:p w14:paraId="5E539016">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ascii="Times New Roman" w:hAnsi="Times New Roman" w:cs="Times New Roman" w:eastAsiaTheme="minorEastAsia"/>
                <w:iCs/>
                <w:color w:val="auto"/>
                <w:sz w:val="24"/>
                <w:szCs w:val="24"/>
                <w:lang w:val="en-US" w:eastAsia="zh-CN" w:bidi="ar-SA"/>
              </w:rPr>
            </w:pPr>
            <w:r>
              <w:rPr>
                <w:rFonts w:hint="default" w:cs="Times New Roman" w:eastAsiaTheme="minorEastAsia"/>
                <w:color w:val="auto"/>
                <w:sz w:val="24"/>
                <w:szCs w:val="24"/>
              </w:rPr>
              <w:t>针对不同病因导致的肝损伤，应用包含声学定量参数、力学定量参数、超声造影的多参数超声，研究其在急性、慢性、酒精性、淤血性或化疗后肝损伤中的应用价值。通过基础实验或临床研究，明确肝损伤的临床-影像-血清学或组织学特征，构建肝损伤分层模型，为多参数超声在弥漫性肝损伤中的应用提供理论依据。</w:t>
            </w:r>
          </w:p>
        </w:tc>
      </w:tr>
      <w:tr w14:paraId="3DD79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jc w:val="center"/>
        </w:trPr>
        <w:tc>
          <w:tcPr>
            <w:tcW w:w="0" w:type="auto"/>
            <w:vAlign w:val="center"/>
          </w:tcPr>
          <w:p w14:paraId="0EF1169A">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43" w:firstLineChars="18"/>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A76</w:t>
            </w:r>
          </w:p>
        </w:tc>
        <w:tc>
          <w:tcPr>
            <w:tcW w:w="0" w:type="auto"/>
            <w:shd w:val="clear" w:color="auto" w:fill="auto"/>
            <w:vAlign w:val="center"/>
          </w:tcPr>
          <w:p w14:paraId="0BC1B047">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ascii="Times New Roman" w:hAnsi="Times New Roman" w:cs="Times New Roman" w:eastAsiaTheme="minorEastAsia"/>
                <w:iCs/>
                <w:color w:val="auto"/>
                <w:sz w:val="24"/>
                <w:szCs w:val="24"/>
                <w:lang w:val="en-US" w:eastAsia="zh-CN" w:bidi="ar-SA"/>
              </w:rPr>
            </w:pPr>
            <w:r>
              <w:rPr>
                <w:rFonts w:hint="default" w:cs="Times New Roman" w:eastAsiaTheme="minorEastAsia"/>
                <w:color w:val="auto"/>
                <w:sz w:val="24"/>
                <w:szCs w:val="24"/>
              </w:rPr>
              <w:t>多模态超声融合成像在前列腺癌诊疗的策略研究</w:t>
            </w:r>
          </w:p>
        </w:tc>
        <w:tc>
          <w:tcPr>
            <w:tcW w:w="6035" w:type="dxa"/>
            <w:shd w:val="clear" w:color="auto" w:fill="auto"/>
            <w:vAlign w:val="center"/>
          </w:tcPr>
          <w:p w14:paraId="43C69189">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ascii="Times New Roman" w:hAnsi="Times New Roman" w:cs="Times New Roman" w:eastAsiaTheme="minorEastAsia"/>
                <w:iCs/>
                <w:color w:val="auto"/>
                <w:sz w:val="24"/>
                <w:szCs w:val="24"/>
                <w:lang w:val="en-US" w:eastAsia="zh-CN" w:bidi="ar-SA"/>
              </w:rPr>
            </w:pPr>
            <w:r>
              <w:rPr>
                <w:rFonts w:hint="default" w:cs="Times New Roman" w:eastAsiaTheme="minorEastAsia"/>
                <w:color w:val="auto"/>
                <w:sz w:val="24"/>
                <w:szCs w:val="24"/>
              </w:rPr>
              <w:t>针对前列腺癌多模态医学影像智能融合诊疗一体化系统构建与临床转化，设计优越的网络框架对前列腺影像数据进行分割，通过深度学习的多模态影像数据融合以及利用多信息注意力学习框架，构建基于深度学习的前列腺癌影像学诊断、分级的人工智能预测模型，为疾病精准诊疗提供决策依据。</w:t>
            </w:r>
          </w:p>
        </w:tc>
      </w:tr>
      <w:tr w14:paraId="41490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jc w:val="center"/>
        </w:trPr>
        <w:tc>
          <w:tcPr>
            <w:tcW w:w="0" w:type="auto"/>
            <w:vAlign w:val="center"/>
          </w:tcPr>
          <w:p w14:paraId="03FA15F5">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43" w:firstLineChars="18"/>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A77</w:t>
            </w:r>
          </w:p>
        </w:tc>
        <w:tc>
          <w:tcPr>
            <w:tcW w:w="0" w:type="auto"/>
            <w:shd w:val="clear" w:color="auto" w:fill="auto"/>
            <w:vAlign w:val="center"/>
          </w:tcPr>
          <w:p w14:paraId="1CBCA30F">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ascii="Times New Roman" w:hAnsi="Times New Roman" w:cs="Times New Roman" w:eastAsiaTheme="minorEastAsia"/>
                <w:iCs/>
                <w:color w:val="auto"/>
                <w:sz w:val="24"/>
                <w:szCs w:val="24"/>
                <w:lang w:val="en-US" w:eastAsia="zh-CN" w:bidi="ar-SA"/>
              </w:rPr>
            </w:pPr>
            <w:r>
              <w:rPr>
                <w:rFonts w:hint="default" w:cs="Times New Roman" w:eastAsiaTheme="minorEastAsia"/>
                <w:color w:val="auto"/>
                <w:sz w:val="24"/>
                <w:szCs w:val="24"/>
              </w:rPr>
              <w:t>多模态超声新技术在颌面部肿瘤诊断及管理的策略研究</w:t>
            </w:r>
          </w:p>
        </w:tc>
        <w:tc>
          <w:tcPr>
            <w:tcW w:w="6035" w:type="dxa"/>
            <w:shd w:val="clear" w:color="auto" w:fill="auto"/>
            <w:vAlign w:val="center"/>
          </w:tcPr>
          <w:p w14:paraId="047462C3">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ascii="Times New Roman" w:hAnsi="Times New Roman" w:cs="Times New Roman" w:eastAsiaTheme="minorEastAsia"/>
                <w:iCs/>
                <w:color w:val="auto"/>
                <w:sz w:val="24"/>
                <w:szCs w:val="24"/>
                <w:lang w:val="en-US" w:eastAsia="zh-CN" w:bidi="ar-SA"/>
              </w:rPr>
            </w:pPr>
            <w:r>
              <w:rPr>
                <w:rFonts w:hint="default" w:cs="Times New Roman" w:eastAsiaTheme="minorEastAsia"/>
                <w:color w:val="auto"/>
                <w:sz w:val="24"/>
                <w:szCs w:val="24"/>
              </w:rPr>
              <w:t>针对颌面部肿瘤诊断及全生命周期管理，应用多模态超声，研究建立包括癌前病变高危人群筛查、疾病早期诊断及精准定位、治疗决策制定、术后复发监测及功能评估等的全周期管理规范化标准，提高口腔颌面肿瘤预防、诊断、治疗及随访中超声检查的应用效能。</w:t>
            </w:r>
          </w:p>
        </w:tc>
      </w:tr>
      <w:tr w14:paraId="2AB3A0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jc w:val="center"/>
        </w:trPr>
        <w:tc>
          <w:tcPr>
            <w:tcW w:w="0" w:type="auto"/>
            <w:vAlign w:val="center"/>
          </w:tcPr>
          <w:p w14:paraId="5F317848">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43" w:firstLineChars="18"/>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A78</w:t>
            </w:r>
          </w:p>
        </w:tc>
        <w:tc>
          <w:tcPr>
            <w:tcW w:w="0" w:type="auto"/>
            <w:shd w:val="clear" w:color="auto" w:fill="auto"/>
            <w:vAlign w:val="center"/>
          </w:tcPr>
          <w:p w14:paraId="7D4424F9">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ascii="Times New Roman" w:hAnsi="Times New Roman" w:cs="Times New Roman" w:eastAsiaTheme="minorEastAsia"/>
                <w:iCs/>
                <w:color w:val="auto"/>
                <w:sz w:val="24"/>
                <w:szCs w:val="24"/>
                <w:lang w:val="en-US" w:eastAsia="zh-CN" w:bidi="ar-SA"/>
              </w:rPr>
            </w:pPr>
            <w:r>
              <w:rPr>
                <w:rFonts w:hint="default" w:cs="Times New Roman" w:eastAsiaTheme="minorEastAsia"/>
                <w:color w:val="auto"/>
                <w:sz w:val="24"/>
                <w:szCs w:val="24"/>
              </w:rPr>
              <w:t>多参数超声技术在甲状腺结节诊断、侵袭性评估及消融治疗评估的策略研究</w:t>
            </w:r>
          </w:p>
        </w:tc>
        <w:tc>
          <w:tcPr>
            <w:tcW w:w="6035" w:type="dxa"/>
            <w:shd w:val="clear" w:color="auto" w:fill="auto"/>
            <w:vAlign w:val="center"/>
          </w:tcPr>
          <w:p w14:paraId="1FB8DB47">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ascii="Times New Roman" w:hAnsi="Times New Roman" w:cs="Times New Roman" w:eastAsiaTheme="minorEastAsia"/>
                <w:iCs/>
                <w:color w:val="auto"/>
                <w:sz w:val="24"/>
                <w:szCs w:val="24"/>
                <w:lang w:val="en-US" w:eastAsia="zh-CN" w:bidi="ar-SA"/>
              </w:rPr>
            </w:pPr>
            <w:r>
              <w:rPr>
                <w:rFonts w:hint="default" w:cs="Times New Roman" w:eastAsiaTheme="minorEastAsia"/>
                <w:color w:val="auto"/>
                <w:sz w:val="24"/>
                <w:szCs w:val="24"/>
              </w:rPr>
              <w:t>围绕甲状腺结节这一临床高发疾病，应用超微血流成像、粘弹性成像、超声造影、超分辨造影等多参数超声技术，整合形态及功能等多维度信息，在鉴别结节良恶性，评估恶性结节的侵袭性，指导治疗方案的选择，监测及评价消融效果等方面进行研究和探索，以实现准确地分类管理甲状腺结节、选择最佳治疗决策。</w:t>
            </w:r>
          </w:p>
        </w:tc>
      </w:tr>
      <w:tr w14:paraId="73DDF0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jc w:val="center"/>
        </w:trPr>
        <w:tc>
          <w:tcPr>
            <w:tcW w:w="0" w:type="auto"/>
            <w:vAlign w:val="center"/>
          </w:tcPr>
          <w:p w14:paraId="6B452916">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43" w:firstLineChars="18"/>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A79</w:t>
            </w:r>
          </w:p>
        </w:tc>
        <w:tc>
          <w:tcPr>
            <w:tcW w:w="0" w:type="auto"/>
            <w:shd w:val="clear" w:color="auto" w:fill="auto"/>
            <w:vAlign w:val="center"/>
          </w:tcPr>
          <w:p w14:paraId="54282317">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ascii="Times New Roman" w:hAnsi="Times New Roman" w:cs="Times New Roman" w:eastAsiaTheme="minorEastAsia"/>
                <w:iCs/>
                <w:color w:val="auto"/>
                <w:sz w:val="24"/>
                <w:szCs w:val="24"/>
                <w:lang w:val="en-US" w:eastAsia="zh-CN" w:bidi="ar-SA"/>
              </w:rPr>
            </w:pPr>
            <w:r>
              <w:rPr>
                <w:rFonts w:hint="default" w:cs="Times New Roman" w:eastAsiaTheme="minorEastAsia"/>
                <w:color w:val="auto"/>
                <w:sz w:val="24"/>
                <w:szCs w:val="24"/>
              </w:rPr>
              <w:t>多参数超声新技术在乳腺癌诊疗管理中的策略研究</w:t>
            </w:r>
          </w:p>
        </w:tc>
        <w:tc>
          <w:tcPr>
            <w:tcW w:w="6035" w:type="dxa"/>
            <w:shd w:val="clear" w:color="auto" w:fill="auto"/>
            <w:vAlign w:val="center"/>
          </w:tcPr>
          <w:p w14:paraId="29ACF5B4">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ascii="Times New Roman" w:hAnsi="Times New Roman" w:cs="Times New Roman" w:eastAsiaTheme="minorEastAsia"/>
                <w:iCs/>
                <w:color w:val="auto"/>
                <w:sz w:val="24"/>
                <w:szCs w:val="24"/>
                <w:lang w:val="en-US" w:eastAsia="zh-CN" w:bidi="ar-SA"/>
              </w:rPr>
            </w:pPr>
            <w:r>
              <w:rPr>
                <w:rFonts w:hint="default" w:cs="Times New Roman" w:eastAsiaTheme="minorEastAsia"/>
                <w:color w:val="auto"/>
                <w:sz w:val="24"/>
                <w:szCs w:val="24"/>
              </w:rPr>
              <w:t>针对女性常见的恶性肿瘤-乳腺癌的诊疗管理，联合应用多参数超声技术（超微血流定量分析、弹性/粘弹性成像、超声造影、显微造影等），对良恶性鉴别诊断、BI-RADS精准分类、分子分型、淋巴结转移、预后评估等进行临床研究，以期提高乳腺疾病筛查、诊断的准确性，探索乳腺癌演变规律，为治疗决策提供依据。</w:t>
            </w:r>
          </w:p>
        </w:tc>
      </w:tr>
      <w:tr w14:paraId="36AFC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jc w:val="center"/>
        </w:trPr>
        <w:tc>
          <w:tcPr>
            <w:tcW w:w="0" w:type="auto"/>
            <w:vAlign w:val="center"/>
          </w:tcPr>
          <w:p w14:paraId="12AB7D53">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43" w:firstLineChars="18"/>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A80</w:t>
            </w:r>
          </w:p>
        </w:tc>
        <w:tc>
          <w:tcPr>
            <w:tcW w:w="0" w:type="auto"/>
            <w:shd w:val="clear" w:color="auto" w:fill="auto"/>
            <w:vAlign w:val="center"/>
          </w:tcPr>
          <w:p w14:paraId="13C6BEA7">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ascii="Times New Roman" w:hAnsi="Times New Roman" w:cs="Times New Roman" w:eastAsiaTheme="minorEastAsia"/>
                <w:iCs/>
                <w:color w:val="auto"/>
                <w:sz w:val="24"/>
                <w:szCs w:val="24"/>
                <w:lang w:val="en-US" w:eastAsia="zh-CN" w:bidi="ar-SA"/>
              </w:rPr>
            </w:pPr>
            <w:r>
              <w:rPr>
                <w:rFonts w:hint="default" w:cs="Times New Roman" w:eastAsiaTheme="minorEastAsia"/>
                <w:color w:val="auto"/>
                <w:sz w:val="24"/>
                <w:szCs w:val="24"/>
              </w:rPr>
              <w:t>粘弹性成像在浆细胞性乳腺炎诊断及疗效评估中的应用研究</w:t>
            </w:r>
          </w:p>
        </w:tc>
        <w:tc>
          <w:tcPr>
            <w:tcW w:w="6035" w:type="dxa"/>
            <w:shd w:val="clear" w:color="auto" w:fill="auto"/>
            <w:vAlign w:val="center"/>
          </w:tcPr>
          <w:p w14:paraId="3FD60EFB">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ascii="Times New Roman" w:hAnsi="Times New Roman" w:cs="Times New Roman" w:eastAsiaTheme="minorEastAsia"/>
                <w:iCs/>
                <w:color w:val="auto"/>
                <w:sz w:val="24"/>
                <w:szCs w:val="24"/>
                <w:lang w:val="en-US" w:eastAsia="zh-CN" w:bidi="ar-SA"/>
              </w:rPr>
            </w:pPr>
            <w:r>
              <w:rPr>
                <w:rFonts w:hint="default" w:cs="Times New Roman" w:eastAsiaTheme="minorEastAsia"/>
                <w:color w:val="auto"/>
                <w:sz w:val="24"/>
                <w:szCs w:val="24"/>
              </w:rPr>
              <w:t>针对临床上浆细胞性乳腺炎与乳腺癌鉴别诊断困难的痛点，应用超声粘弹性新技术结合结构与血流特征等对病变和组织的生物力学信息等进行分析研究，发现和总结病变的定性、定量特征，探索超声粘弹性新技术在浆细胞性乳腺炎诊疗中的临床价值。</w:t>
            </w:r>
          </w:p>
        </w:tc>
      </w:tr>
      <w:tr w14:paraId="32EC9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jc w:val="center"/>
        </w:trPr>
        <w:tc>
          <w:tcPr>
            <w:tcW w:w="0" w:type="auto"/>
            <w:vAlign w:val="center"/>
          </w:tcPr>
          <w:p w14:paraId="7AC7599A">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43" w:firstLineChars="18"/>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A81</w:t>
            </w:r>
          </w:p>
        </w:tc>
        <w:tc>
          <w:tcPr>
            <w:tcW w:w="0" w:type="auto"/>
            <w:shd w:val="clear" w:color="auto" w:fill="auto"/>
            <w:vAlign w:val="center"/>
          </w:tcPr>
          <w:p w14:paraId="5A630ED9">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ascii="Times New Roman" w:hAnsi="Times New Roman" w:cs="Times New Roman" w:eastAsiaTheme="minorEastAsia"/>
                <w:iCs/>
                <w:color w:val="auto"/>
                <w:sz w:val="24"/>
                <w:szCs w:val="24"/>
                <w:lang w:val="en-US" w:eastAsia="zh-CN" w:bidi="ar-SA"/>
              </w:rPr>
            </w:pPr>
            <w:r>
              <w:rPr>
                <w:rFonts w:hint="default" w:cs="Times New Roman" w:eastAsiaTheme="minorEastAsia"/>
                <w:color w:val="auto"/>
                <w:sz w:val="24"/>
                <w:szCs w:val="24"/>
              </w:rPr>
              <w:t>基于多模态超声的中老年肌少症早筛及精准评估指标体系建立</w:t>
            </w:r>
          </w:p>
        </w:tc>
        <w:tc>
          <w:tcPr>
            <w:tcW w:w="6035" w:type="dxa"/>
            <w:shd w:val="clear" w:color="auto" w:fill="auto"/>
            <w:vAlign w:val="center"/>
          </w:tcPr>
          <w:p w14:paraId="4DAA97A6">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ascii="Times New Roman" w:hAnsi="Times New Roman" w:cs="Times New Roman" w:eastAsiaTheme="minorEastAsia"/>
                <w:iCs/>
                <w:color w:val="auto"/>
                <w:sz w:val="24"/>
                <w:szCs w:val="24"/>
                <w:lang w:val="en-US" w:eastAsia="zh-CN" w:bidi="ar-SA"/>
              </w:rPr>
            </w:pPr>
            <w:r>
              <w:rPr>
                <w:rFonts w:hint="default" w:cs="Times New Roman" w:eastAsiaTheme="minorEastAsia"/>
                <w:color w:val="auto"/>
                <w:sz w:val="24"/>
                <w:szCs w:val="24"/>
              </w:rPr>
              <w:t>运用粘弹性、声衰减等多模态超声技术，对肌肉厚度、脂肪厚度及肌肉质量、肌肉粘弹性进行评估，结合其他临床运动学指标、BIA检测脂肪、肌肉含量等，建立中老年肌少症早期筛查和精准评估指标体系，为肌少症的早期干预和治疗提供依据。</w:t>
            </w:r>
          </w:p>
        </w:tc>
      </w:tr>
      <w:tr w14:paraId="272A8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jc w:val="center"/>
        </w:trPr>
        <w:tc>
          <w:tcPr>
            <w:tcW w:w="0" w:type="auto"/>
            <w:vAlign w:val="center"/>
          </w:tcPr>
          <w:p w14:paraId="4EA0CB6D">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43" w:firstLineChars="18"/>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A82</w:t>
            </w:r>
          </w:p>
        </w:tc>
        <w:tc>
          <w:tcPr>
            <w:tcW w:w="0" w:type="auto"/>
            <w:shd w:val="clear" w:color="auto" w:fill="auto"/>
            <w:vAlign w:val="center"/>
          </w:tcPr>
          <w:p w14:paraId="18F3CFA4">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ascii="Times New Roman" w:hAnsi="Times New Roman" w:cs="Times New Roman" w:eastAsiaTheme="minorEastAsia"/>
                <w:iCs/>
                <w:color w:val="auto"/>
                <w:sz w:val="24"/>
                <w:szCs w:val="24"/>
                <w:lang w:val="en-US" w:eastAsia="zh-CN" w:bidi="ar-SA"/>
              </w:rPr>
            </w:pPr>
            <w:r>
              <w:rPr>
                <w:rFonts w:hint="default" w:cs="Times New Roman" w:eastAsiaTheme="minorEastAsia"/>
                <w:color w:val="auto"/>
                <w:sz w:val="24"/>
                <w:szCs w:val="24"/>
              </w:rPr>
              <w:t>超声影像引导下的脊柱侧弯自主神经调控研究及其胃肠动力障碍早期预警模型构建</w:t>
            </w:r>
          </w:p>
        </w:tc>
        <w:tc>
          <w:tcPr>
            <w:tcW w:w="6035" w:type="dxa"/>
            <w:shd w:val="clear" w:color="auto" w:fill="auto"/>
            <w:vAlign w:val="center"/>
          </w:tcPr>
          <w:p w14:paraId="115FD85F">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ascii="Times New Roman" w:hAnsi="Times New Roman" w:cs="Times New Roman" w:eastAsiaTheme="minorEastAsia"/>
                <w:iCs/>
                <w:color w:val="auto"/>
                <w:sz w:val="24"/>
                <w:szCs w:val="24"/>
                <w:lang w:val="en-US" w:eastAsia="zh-CN" w:bidi="ar-SA"/>
              </w:rPr>
            </w:pPr>
            <w:r>
              <w:rPr>
                <w:rFonts w:hint="default" w:cs="Times New Roman" w:eastAsiaTheme="minorEastAsia"/>
                <w:color w:val="auto"/>
                <w:sz w:val="24"/>
                <w:szCs w:val="24"/>
              </w:rPr>
              <w:t>在超声影像引导下，精准定位脊柱侧弯患者自主神经，进行调控干预，观察对胃肠动力的影响，同时收集刺激部位组织粘弹性特性改变，结合临床数据构建早期预警模型，为脊柱侧弯患者胃肠动力障碍的预防和治疗提供新策略。</w:t>
            </w:r>
          </w:p>
        </w:tc>
      </w:tr>
      <w:tr w14:paraId="4F766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6" w:hRule="atLeast"/>
          <w:jc w:val="center"/>
        </w:trPr>
        <w:tc>
          <w:tcPr>
            <w:tcW w:w="0" w:type="auto"/>
            <w:vAlign w:val="center"/>
          </w:tcPr>
          <w:p w14:paraId="1C2191F1">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43" w:firstLineChars="18"/>
              <w:jc w:val="center"/>
              <w:textAlignment w:val="auto"/>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A83</w:t>
            </w:r>
          </w:p>
        </w:tc>
        <w:tc>
          <w:tcPr>
            <w:tcW w:w="0" w:type="auto"/>
            <w:shd w:val="clear" w:color="auto" w:fill="auto"/>
            <w:vAlign w:val="center"/>
          </w:tcPr>
          <w:p w14:paraId="13536F3F">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ascii="Times New Roman" w:hAnsi="Times New Roman" w:cs="Times New Roman" w:eastAsiaTheme="minorEastAsia"/>
                <w:iCs/>
                <w:color w:val="auto"/>
                <w:sz w:val="24"/>
                <w:szCs w:val="24"/>
                <w:lang w:val="en-US" w:eastAsia="zh-CN" w:bidi="ar-SA"/>
              </w:rPr>
            </w:pPr>
            <w:r>
              <w:rPr>
                <w:rFonts w:hint="default" w:cs="Times New Roman" w:eastAsiaTheme="minorEastAsia"/>
                <w:color w:val="auto"/>
                <w:sz w:val="24"/>
                <w:szCs w:val="24"/>
              </w:rPr>
              <w:t>粘弹性超声和显微超声造影在颅脑中的临床应用探索</w:t>
            </w:r>
          </w:p>
        </w:tc>
        <w:tc>
          <w:tcPr>
            <w:tcW w:w="6035" w:type="dxa"/>
            <w:shd w:val="clear" w:color="auto" w:fill="auto"/>
            <w:vAlign w:val="center"/>
          </w:tcPr>
          <w:p w14:paraId="4B5182B3">
            <w:pPr>
              <w:keepNext w:val="0"/>
              <w:keepLines w:val="0"/>
              <w:pageBreakBefore w:val="0"/>
              <w:widowControl/>
              <w:kinsoku/>
              <w:wordWrap/>
              <w:overflowPunct/>
              <w:topLinePunct w:val="0"/>
              <w:autoSpaceDE/>
              <w:autoSpaceDN/>
              <w:bidi w:val="0"/>
              <w:adjustRightInd/>
              <w:snapToGrid/>
              <w:spacing w:before="156" w:beforeLines="50" w:after="156" w:afterLines="50" w:line="240" w:lineRule="auto"/>
              <w:ind w:firstLine="0" w:firstLineChars="0"/>
              <w:textAlignment w:val="auto"/>
              <w:rPr>
                <w:rFonts w:hint="default" w:ascii="Times New Roman" w:hAnsi="Times New Roman" w:cs="Times New Roman" w:eastAsiaTheme="minorEastAsia"/>
                <w:iCs/>
                <w:color w:val="auto"/>
                <w:sz w:val="24"/>
                <w:szCs w:val="24"/>
                <w:lang w:val="en-US" w:eastAsia="zh-CN" w:bidi="ar-SA"/>
              </w:rPr>
            </w:pPr>
            <w:r>
              <w:rPr>
                <w:rFonts w:hint="default" w:cs="Times New Roman" w:eastAsiaTheme="minorEastAsia"/>
                <w:color w:val="auto"/>
                <w:sz w:val="24"/>
                <w:szCs w:val="24"/>
              </w:rPr>
              <w:t xml:space="preserve">对脑神经系统疾病患者，包括颅脑损伤、脑卒中、脑肿瘤等患者治疗前后行颅脑超声造影、显微造影和粘弹性成像，获得可视化图像及量化参数，分析患者治疗前后脑微循环灌注及脑组织结构和力学特性变化，探究各类脑神经疾病的超声量化参数的差异，以及反应治疗效果有力的超声量化参数，探究利用各项量化参数及其变化来评估疗效的可行性。 </w:t>
            </w:r>
          </w:p>
        </w:tc>
      </w:tr>
    </w:tbl>
    <w:p w14:paraId="089BFB22">
      <w:pPr>
        <w:spacing w:before="0" w:after="0" w:line="360" w:lineRule="auto"/>
        <w:ind w:firstLine="0" w:firstLineChars="0"/>
        <w:rPr>
          <w:color w:val="auto"/>
          <w:sz w:val="24"/>
          <w:szCs w:val="24"/>
        </w:rPr>
      </w:pPr>
    </w:p>
    <w:p w14:paraId="5611620B">
      <w:pPr>
        <w:tabs>
          <w:tab w:val="left" w:pos="312"/>
        </w:tabs>
        <w:spacing w:before="0" w:after="0" w:line="360" w:lineRule="auto"/>
        <w:ind w:firstLine="480" w:firstLineChars="200"/>
        <w:rPr>
          <w:color w:val="auto"/>
          <w:sz w:val="24"/>
          <w:szCs w:val="24"/>
        </w:rPr>
      </w:pPr>
      <w:r>
        <w:rPr>
          <w:rFonts w:hint="eastAsia"/>
          <w:color w:val="auto"/>
          <w:sz w:val="24"/>
          <w:szCs w:val="24"/>
          <w:lang w:eastAsia="zh-CN"/>
        </w:rPr>
        <w:t>（</w:t>
      </w:r>
      <w:r>
        <w:rPr>
          <w:rFonts w:hint="eastAsia"/>
          <w:color w:val="auto"/>
          <w:sz w:val="24"/>
          <w:szCs w:val="24"/>
          <w:lang w:val="en-US" w:eastAsia="zh-CN"/>
        </w:rPr>
        <w:t>2</w:t>
      </w:r>
      <w:r>
        <w:rPr>
          <w:rFonts w:hint="eastAsia"/>
          <w:color w:val="auto"/>
          <w:sz w:val="24"/>
          <w:szCs w:val="24"/>
          <w:lang w:eastAsia="zh-CN"/>
        </w:rPr>
        <w:t>）</w:t>
      </w:r>
      <w:r>
        <w:rPr>
          <w:rFonts w:hint="eastAsia"/>
          <w:color w:val="auto"/>
          <w:sz w:val="24"/>
          <w:szCs w:val="24"/>
        </w:rPr>
        <w:t>自主课题：根据自身的条件和区域的特点，要求基于相关产品围绕</w:t>
      </w:r>
      <w:r>
        <w:rPr>
          <w:rFonts w:hint="eastAsia"/>
          <w:color w:val="auto"/>
          <w:sz w:val="24"/>
          <w:szCs w:val="24"/>
          <w:lang w:val="en-US" w:eastAsia="zh-CN"/>
        </w:rPr>
        <w:t>智慧医疗、感染性疾病和麻醉产品</w:t>
      </w:r>
      <w:r>
        <w:rPr>
          <w:rFonts w:hint="eastAsia"/>
          <w:color w:val="auto"/>
          <w:sz w:val="24"/>
          <w:szCs w:val="24"/>
        </w:rPr>
        <w:t>进行研究（项目提供</w:t>
      </w:r>
      <w:r>
        <w:rPr>
          <w:color w:val="auto"/>
          <w:sz w:val="24"/>
          <w:szCs w:val="24"/>
        </w:rPr>
        <w:t>产品</w:t>
      </w:r>
      <w:r>
        <w:rPr>
          <w:rFonts w:hint="eastAsia"/>
          <w:color w:val="auto"/>
          <w:sz w:val="24"/>
          <w:szCs w:val="24"/>
        </w:rPr>
        <w:t>见</w:t>
      </w:r>
      <w:r>
        <w:rPr>
          <w:rFonts w:hint="eastAsia"/>
          <w:color w:val="auto"/>
          <w:sz w:val="24"/>
          <w:szCs w:val="24"/>
          <w:lang w:val="en-US" w:eastAsia="zh-CN"/>
        </w:rPr>
        <w:t>表三</w:t>
      </w:r>
      <w:r>
        <w:rPr>
          <w:rFonts w:hint="eastAsia"/>
          <w:color w:val="auto"/>
          <w:sz w:val="24"/>
          <w:szCs w:val="24"/>
        </w:rPr>
        <w:t>），</w:t>
      </w:r>
      <w:r>
        <w:rPr>
          <w:color w:val="auto"/>
          <w:sz w:val="24"/>
          <w:szCs w:val="24"/>
        </w:rPr>
        <w:t>鼓励提出原创性新课题申请，鼓励学科</w:t>
      </w:r>
      <w:r>
        <w:rPr>
          <w:rFonts w:hint="eastAsia"/>
          <w:color w:val="auto"/>
          <w:sz w:val="24"/>
          <w:szCs w:val="24"/>
        </w:rPr>
        <w:t>交</w:t>
      </w:r>
      <w:r>
        <w:rPr>
          <w:color w:val="auto"/>
          <w:sz w:val="24"/>
          <w:szCs w:val="24"/>
        </w:rPr>
        <w:t>叉</w:t>
      </w:r>
      <w:r>
        <w:rPr>
          <w:rFonts w:hint="eastAsia"/>
          <w:color w:val="auto"/>
          <w:sz w:val="24"/>
          <w:szCs w:val="24"/>
        </w:rPr>
        <w:t>，申请院校可从表二中选择课题领域进行申报。</w:t>
      </w:r>
    </w:p>
    <w:p w14:paraId="5E47594B">
      <w:pPr>
        <w:spacing w:before="0" w:after="0" w:line="360" w:lineRule="auto"/>
        <w:ind w:firstLine="482"/>
        <w:jc w:val="center"/>
        <w:rPr>
          <w:b/>
          <w:color w:val="auto"/>
          <w:sz w:val="28"/>
          <w:szCs w:val="28"/>
        </w:rPr>
      </w:pPr>
      <w:r>
        <w:rPr>
          <w:rFonts w:hint="eastAsia"/>
          <w:b/>
          <w:color w:val="auto"/>
          <w:sz w:val="28"/>
          <w:szCs w:val="28"/>
        </w:rPr>
        <w:t>表二 自主课题选题列表</w:t>
      </w:r>
    </w:p>
    <w:tbl>
      <w:tblPr>
        <w:tblStyle w:val="11"/>
        <w:tblW w:w="80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57"/>
        <w:gridCol w:w="5459"/>
      </w:tblGrid>
      <w:tr w14:paraId="5DC8FF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 w:hRule="atLeast"/>
          <w:jc w:val="center"/>
        </w:trPr>
        <w:tc>
          <w:tcPr>
            <w:tcW w:w="2557" w:type="dxa"/>
            <w:shd w:val="clear" w:color="auto" w:fill="BFBFBF"/>
            <w:vAlign w:val="center"/>
          </w:tcPr>
          <w:p w14:paraId="38C386D7">
            <w:pPr>
              <w:spacing w:line="360" w:lineRule="auto"/>
              <w:ind w:firstLine="22" w:firstLineChars="9"/>
              <w:jc w:val="center"/>
              <w:rPr>
                <w:rFonts w:cs="Times New Roman"/>
                <w:b/>
                <w:color w:val="auto"/>
                <w:sz w:val="24"/>
                <w:szCs w:val="24"/>
              </w:rPr>
            </w:pPr>
            <w:r>
              <w:rPr>
                <w:rFonts w:hint="default" w:cs="Times New Roman"/>
                <w:b/>
                <w:color w:val="auto"/>
                <w:sz w:val="24"/>
                <w:szCs w:val="24"/>
              </w:rPr>
              <w:t>方向编号</w:t>
            </w:r>
          </w:p>
        </w:tc>
        <w:tc>
          <w:tcPr>
            <w:tcW w:w="5459" w:type="dxa"/>
            <w:shd w:val="clear" w:color="auto" w:fill="BFBFBF"/>
            <w:noWrap/>
            <w:vAlign w:val="center"/>
          </w:tcPr>
          <w:p w14:paraId="2803633F">
            <w:pPr>
              <w:spacing w:line="360" w:lineRule="auto"/>
              <w:ind w:firstLine="43" w:firstLineChars="18"/>
              <w:jc w:val="center"/>
              <w:rPr>
                <w:rFonts w:cs="Times New Roman"/>
                <w:b/>
                <w:color w:val="auto"/>
                <w:sz w:val="24"/>
                <w:szCs w:val="24"/>
              </w:rPr>
            </w:pPr>
            <w:r>
              <w:rPr>
                <w:rFonts w:hint="default" w:cs="Times New Roman"/>
                <w:b/>
                <w:color w:val="auto"/>
                <w:sz w:val="24"/>
                <w:szCs w:val="24"/>
              </w:rPr>
              <w:t>课题方向</w:t>
            </w:r>
          </w:p>
        </w:tc>
      </w:tr>
      <w:tr w14:paraId="215DE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 w:hRule="atLeast"/>
          <w:jc w:val="center"/>
        </w:trPr>
        <w:tc>
          <w:tcPr>
            <w:tcW w:w="2557" w:type="dxa"/>
            <w:vAlign w:val="center"/>
          </w:tcPr>
          <w:p w14:paraId="5FFFC5CE">
            <w:pPr>
              <w:spacing w:before="0" w:after="0" w:line="360" w:lineRule="auto"/>
              <w:ind w:firstLine="199" w:firstLineChars="83"/>
              <w:jc w:val="both"/>
              <w:rPr>
                <w:rFonts w:hint="default" w:eastAsia="宋体"/>
                <w:color w:val="auto"/>
                <w:sz w:val="24"/>
                <w:szCs w:val="24"/>
                <w:lang w:val="en-US" w:eastAsia="zh-CN"/>
              </w:rPr>
            </w:pPr>
            <w:r>
              <w:rPr>
                <w:rFonts w:hint="eastAsia"/>
                <w:color w:val="auto"/>
                <w:sz w:val="24"/>
                <w:szCs w:val="24"/>
                <w:lang w:val="en-US" w:eastAsia="zh-CN"/>
              </w:rPr>
              <w:t>B01</w:t>
            </w:r>
          </w:p>
        </w:tc>
        <w:tc>
          <w:tcPr>
            <w:tcW w:w="5459" w:type="dxa"/>
            <w:shd w:val="clear" w:color="auto" w:fill="auto"/>
            <w:noWrap/>
            <w:vAlign w:val="center"/>
          </w:tcPr>
          <w:p w14:paraId="269F6DFA">
            <w:pPr>
              <w:spacing w:before="156" w:beforeLines="50" w:after="156" w:afterLines="50" w:line="360" w:lineRule="auto"/>
              <w:ind w:firstLine="43" w:firstLineChars="18"/>
              <w:rPr>
                <w:rFonts w:hint="default" w:cs="Times New Roman" w:eastAsiaTheme="minorEastAsia"/>
                <w:color w:val="auto"/>
                <w:sz w:val="24"/>
                <w:szCs w:val="24"/>
              </w:rPr>
            </w:pPr>
            <w:r>
              <w:rPr>
                <w:rFonts w:hint="default" w:cs="Times New Roman" w:eastAsiaTheme="minorEastAsia"/>
                <w:color w:val="auto"/>
                <w:sz w:val="24"/>
                <w:szCs w:val="24"/>
              </w:rPr>
              <w:t>科研智能辅助系统建设与评价</w:t>
            </w:r>
          </w:p>
        </w:tc>
      </w:tr>
      <w:tr w14:paraId="2BB14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557" w:type="dxa"/>
            <w:vAlign w:val="center"/>
          </w:tcPr>
          <w:p w14:paraId="62A6D924">
            <w:pPr>
              <w:spacing w:before="0" w:after="0" w:line="360" w:lineRule="auto"/>
              <w:ind w:firstLine="199" w:firstLineChars="83"/>
              <w:jc w:val="both"/>
              <w:rPr>
                <w:rFonts w:hint="default" w:eastAsia="宋体"/>
                <w:sz w:val="24"/>
                <w:szCs w:val="24"/>
                <w:lang w:val="en-US" w:eastAsia="zh-CN"/>
              </w:rPr>
            </w:pPr>
            <w:r>
              <w:rPr>
                <w:rFonts w:hint="eastAsia"/>
                <w:sz w:val="24"/>
                <w:szCs w:val="24"/>
                <w:lang w:val="en-US" w:eastAsia="zh-CN"/>
              </w:rPr>
              <w:t>B02</w:t>
            </w:r>
          </w:p>
        </w:tc>
        <w:tc>
          <w:tcPr>
            <w:tcW w:w="5459" w:type="dxa"/>
            <w:shd w:val="clear" w:color="auto" w:fill="auto"/>
            <w:noWrap/>
            <w:vAlign w:val="center"/>
          </w:tcPr>
          <w:p w14:paraId="57799D2B">
            <w:pPr>
              <w:spacing w:before="156" w:beforeLines="50" w:after="156" w:afterLines="50" w:line="360" w:lineRule="auto"/>
              <w:ind w:firstLine="43" w:firstLineChars="18"/>
              <w:rPr>
                <w:rFonts w:hint="default" w:cs="Times New Roman" w:eastAsiaTheme="minorEastAsia"/>
                <w:color w:val="auto"/>
                <w:sz w:val="24"/>
                <w:szCs w:val="24"/>
              </w:rPr>
            </w:pPr>
            <w:r>
              <w:rPr>
                <w:rFonts w:hint="default" w:cs="Times New Roman" w:eastAsiaTheme="minorEastAsia"/>
                <w:color w:val="auto"/>
                <w:sz w:val="24"/>
                <w:szCs w:val="24"/>
              </w:rPr>
              <w:t>基于人工智能技术的报告解读系统建设与评价</w:t>
            </w:r>
          </w:p>
        </w:tc>
      </w:tr>
      <w:tr w14:paraId="36D81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2557" w:type="dxa"/>
            <w:vAlign w:val="center"/>
          </w:tcPr>
          <w:p w14:paraId="2869842E">
            <w:pPr>
              <w:spacing w:before="0" w:after="0" w:line="360" w:lineRule="auto"/>
              <w:ind w:firstLine="199" w:firstLineChars="83"/>
              <w:jc w:val="both"/>
              <w:rPr>
                <w:rFonts w:hint="default" w:eastAsia="宋体"/>
                <w:sz w:val="24"/>
                <w:szCs w:val="24"/>
                <w:lang w:val="en-US" w:eastAsia="zh-CN"/>
              </w:rPr>
            </w:pPr>
            <w:r>
              <w:rPr>
                <w:rFonts w:hint="eastAsia"/>
                <w:sz w:val="24"/>
                <w:szCs w:val="24"/>
                <w:lang w:val="en-US" w:eastAsia="zh-CN"/>
              </w:rPr>
              <w:t>B03</w:t>
            </w:r>
          </w:p>
        </w:tc>
        <w:tc>
          <w:tcPr>
            <w:tcW w:w="5459" w:type="dxa"/>
            <w:shd w:val="clear" w:color="auto" w:fill="auto"/>
            <w:noWrap/>
            <w:vAlign w:val="center"/>
          </w:tcPr>
          <w:p w14:paraId="47AB7CCC">
            <w:pPr>
              <w:spacing w:before="156" w:beforeLines="50" w:after="156" w:afterLines="50" w:line="360" w:lineRule="auto"/>
              <w:ind w:firstLine="43" w:firstLineChars="18"/>
              <w:rPr>
                <w:rFonts w:hint="default" w:cs="Times New Roman" w:eastAsiaTheme="minorEastAsia"/>
                <w:color w:val="auto"/>
                <w:sz w:val="24"/>
                <w:szCs w:val="24"/>
              </w:rPr>
            </w:pPr>
            <w:r>
              <w:rPr>
                <w:rFonts w:hint="default" w:cs="Times New Roman" w:eastAsiaTheme="minorEastAsia"/>
                <w:color w:val="auto"/>
                <w:sz w:val="24"/>
                <w:szCs w:val="24"/>
              </w:rPr>
              <w:t>区域检验质量管理体系建设及评价</w:t>
            </w:r>
          </w:p>
        </w:tc>
      </w:tr>
      <w:tr w14:paraId="25DE0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1" w:hRule="atLeast"/>
          <w:jc w:val="center"/>
        </w:trPr>
        <w:tc>
          <w:tcPr>
            <w:tcW w:w="2557" w:type="dxa"/>
            <w:vAlign w:val="center"/>
          </w:tcPr>
          <w:p w14:paraId="7B966690">
            <w:pPr>
              <w:spacing w:before="0" w:after="0" w:line="360" w:lineRule="auto"/>
              <w:ind w:firstLine="199" w:firstLineChars="83"/>
              <w:jc w:val="both"/>
              <w:rPr>
                <w:rFonts w:hint="default" w:eastAsia="宋体"/>
                <w:color w:val="auto"/>
                <w:sz w:val="24"/>
                <w:szCs w:val="24"/>
                <w:lang w:val="en-US" w:eastAsia="zh-CN"/>
              </w:rPr>
            </w:pPr>
            <w:r>
              <w:rPr>
                <w:rFonts w:hint="eastAsia" w:eastAsia="宋体"/>
                <w:color w:val="auto"/>
                <w:sz w:val="24"/>
                <w:szCs w:val="24"/>
                <w:lang w:val="en-US" w:eastAsia="zh-CN"/>
              </w:rPr>
              <w:t>B</w:t>
            </w:r>
            <w:r>
              <w:rPr>
                <w:rFonts w:hint="eastAsia"/>
                <w:color w:val="auto"/>
                <w:sz w:val="24"/>
                <w:szCs w:val="24"/>
                <w:lang w:val="en-US" w:eastAsia="zh-CN"/>
              </w:rPr>
              <w:t>04</w:t>
            </w:r>
          </w:p>
        </w:tc>
        <w:tc>
          <w:tcPr>
            <w:tcW w:w="5459" w:type="dxa"/>
            <w:shd w:val="clear" w:color="auto" w:fill="auto"/>
            <w:noWrap/>
            <w:vAlign w:val="center"/>
          </w:tcPr>
          <w:p w14:paraId="588E156B">
            <w:pPr>
              <w:spacing w:before="156" w:beforeLines="50" w:after="156" w:afterLines="50" w:line="360" w:lineRule="auto"/>
              <w:ind w:firstLine="43" w:firstLineChars="18"/>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急危重症患者脓毒症及脓毒症休克的个体化评估、监测与精准治疗</w:t>
            </w:r>
          </w:p>
        </w:tc>
      </w:tr>
      <w:tr w14:paraId="0C4CA3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 w:hRule="atLeast"/>
          <w:jc w:val="center"/>
        </w:trPr>
        <w:tc>
          <w:tcPr>
            <w:tcW w:w="2557" w:type="dxa"/>
            <w:vAlign w:val="center"/>
          </w:tcPr>
          <w:p w14:paraId="3F96E892">
            <w:pPr>
              <w:spacing w:before="0" w:after="0" w:line="360" w:lineRule="auto"/>
              <w:ind w:firstLine="199" w:firstLineChars="83"/>
              <w:jc w:val="both"/>
              <w:rPr>
                <w:rFonts w:hint="default" w:eastAsia="宋体"/>
                <w:color w:val="auto"/>
                <w:sz w:val="24"/>
                <w:szCs w:val="24"/>
                <w:lang w:val="en-US" w:eastAsia="zh-CN"/>
              </w:rPr>
            </w:pPr>
            <w:r>
              <w:rPr>
                <w:rFonts w:hint="eastAsia" w:eastAsia="宋体"/>
                <w:color w:val="auto"/>
                <w:sz w:val="24"/>
                <w:szCs w:val="24"/>
                <w:lang w:val="en-US" w:eastAsia="zh-CN"/>
              </w:rPr>
              <w:t>B</w:t>
            </w:r>
            <w:r>
              <w:rPr>
                <w:rFonts w:hint="eastAsia"/>
                <w:color w:val="auto"/>
                <w:sz w:val="24"/>
                <w:szCs w:val="24"/>
                <w:lang w:val="en-US" w:eastAsia="zh-CN"/>
              </w:rPr>
              <w:t>05</w:t>
            </w:r>
          </w:p>
        </w:tc>
        <w:tc>
          <w:tcPr>
            <w:tcW w:w="5459" w:type="dxa"/>
            <w:shd w:val="clear" w:color="auto" w:fill="auto"/>
            <w:noWrap/>
            <w:vAlign w:val="center"/>
          </w:tcPr>
          <w:p w14:paraId="2EA8EB0D">
            <w:pPr>
              <w:spacing w:before="156" w:beforeLines="50" w:after="156" w:afterLines="50" w:line="360" w:lineRule="auto"/>
              <w:ind w:firstLine="43" w:firstLineChars="18"/>
              <w:rPr>
                <w:rFonts w:hint="default" w:cs="Times New Roman" w:eastAsiaTheme="minorEastAsia"/>
                <w:color w:val="auto"/>
                <w:sz w:val="24"/>
                <w:szCs w:val="24"/>
                <w:lang w:val="en-US" w:eastAsia="zh-CN"/>
              </w:rPr>
            </w:pPr>
            <w:r>
              <w:rPr>
                <w:rFonts w:hint="default" w:cs="Times New Roman" w:eastAsiaTheme="minorEastAsia"/>
                <w:color w:val="auto"/>
                <w:sz w:val="24"/>
                <w:szCs w:val="24"/>
                <w:lang w:val="en-US" w:eastAsia="zh-CN"/>
              </w:rPr>
              <w:t>迈瑞麻醉科相关产品临床应用与科研价值探索</w:t>
            </w:r>
          </w:p>
        </w:tc>
      </w:tr>
    </w:tbl>
    <w:p w14:paraId="32F720BE">
      <w:pPr>
        <w:pStyle w:val="3"/>
        <w:numPr>
          <w:ilvl w:val="0"/>
          <w:numId w:val="0"/>
        </w:numPr>
        <w:spacing w:before="312" w:beforeLines="100" w:line="360" w:lineRule="auto"/>
        <w:ind w:firstLine="643" w:firstLineChars="200"/>
        <w:rPr>
          <w:rFonts w:hint="eastAsia" w:ascii="宋体" w:hAnsi="宋体" w:eastAsia="宋体" w:cs="宋体"/>
          <w:sz w:val="32"/>
          <w:szCs w:val="32"/>
        </w:rPr>
      </w:pPr>
      <w:r>
        <w:rPr>
          <w:rFonts w:hint="eastAsia" w:ascii="宋体" w:hAnsi="宋体" w:eastAsia="宋体" w:cs="宋体"/>
          <w:sz w:val="32"/>
          <w:szCs w:val="32"/>
        </w:rPr>
        <w:t>二、申报条件和要求</w:t>
      </w:r>
    </w:p>
    <w:p w14:paraId="5D26E789">
      <w:pPr>
        <w:spacing w:before="0" w:after="0" w:line="360" w:lineRule="auto"/>
        <w:ind w:firstLine="480"/>
        <w:rPr>
          <w:sz w:val="28"/>
          <w:szCs w:val="28"/>
        </w:rPr>
      </w:pPr>
      <w:r>
        <w:rPr>
          <w:rFonts w:hint="eastAsia"/>
          <w:sz w:val="28"/>
          <w:szCs w:val="28"/>
        </w:rPr>
        <w:t>1.申请人具有较强科研能力，能够独立开展研究和组织开展研究，对所申报课题</w:t>
      </w:r>
      <w:r>
        <w:rPr>
          <w:rFonts w:hint="eastAsia"/>
          <w:color w:val="auto"/>
          <w:sz w:val="28"/>
          <w:szCs w:val="28"/>
        </w:rPr>
        <w:t>已具有一定的研究基础，</w:t>
      </w:r>
      <w:r>
        <w:rPr>
          <w:rFonts w:hint="eastAsia"/>
          <w:sz w:val="28"/>
          <w:szCs w:val="28"/>
        </w:rPr>
        <w:t>能够承担实质性研究工作；团队成员在选定的研究课题方向有较好的技术储备，包括与申报课题研究内容相关的研究成果、教材、论文、专利、获奖等。</w:t>
      </w:r>
    </w:p>
    <w:p w14:paraId="0E2DE0C7">
      <w:pPr>
        <w:spacing w:before="0" w:after="0" w:line="360" w:lineRule="auto"/>
        <w:ind w:firstLine="480"/>
        <w:rPr>
          <w:sz w:val="28"/>
          <w:szCs w:val="28"/>
        </w:rPr>
      </w:pPr>
      <w:r>
        <w:rPr>
          <w:rFonts w:hint="eastAsia"/>
          <w:sz w:val="28"/>
          <w:szCs w:val="28"/>
        </w:rPr>
        <w:t>2.团队组成合理，分工明确，成员不少于3人。课题组成员须征得本人同意并签字确认，否则视为违规申报。</w:t>
      </w:r>
    </w:p>
    <w:p w14:paraId="5B871EDB">
      <w:pPr>
        <w:spacing w:before="0" w:after="0" w:line="360" w:lineRule="auto"/>
        <w:ind w:firstLine="480"/>
        <w:rPr>
          <w:sz w:val="28"/>
          <w:szCs w:val="28"/>
        </w:rPr>
      </w:pPr>
      <w:r>
        <w:rPr>
          <w:rFonts w:hint="eastAsia"/>
          <w:sz w:val="28"/>
          <w:szCs w:val="28"/>
        </w:rPr>
        <w:t>3.优先支持已经设立相关前沿专业/学科，或已经成立相关研究中心的院校。</w:t>
      </w:r>
    </w:p>
    <w:p w14:paraId="126ED37A">
      <w:pPr>
        <w:spacing w:before="0" w:after="0" w:line="360" w:lineRule="auto"/>
        <w:ind w:firstLine="480"/>
        <w:rPr>
          <w:sz w:val="28"/>
          <w:szCs w:val="28"/>
        </w:rPr>
      </w:pPr>
      <w:r>
        <w:rPr>
          <w:rFonts w:hint="eastAsia"/>
          <w:sz w:val="28"/>
          <w:szCs w:val="28"/>
        </w:rPr>
        <w:t>4.</w:t>
      </w:r>
      <w:r>
        <w:rPr>
          <w:rFonts w:hint="default" w:cs="Times New Roman"/>
          <w:color w:val="000000"/>
          <w:sz w:val="28"/>
          <w:szCs w:val="28"/>
        </w:rPr>
        <w:t>优先支持选题方向符合上述固定选题方向（表一）要求的课题</w:t>
      </w:r>
      <w:r>
        <w:rPr>
          <w:rFonts w:hint="eastAsia"/>
          <w:color w:val="auto"/>
          <w:sz w:val="28"/>
          <w:szCs w:val="28"/>
        </w:rPr>
        <w:t>。</w:t>
      </w:r>
    </w:p>
    <w:p w14:paraId="38229985">
      <w:pPr>
        <w:spacing w:before="0" w:after="0" w:line="360" w:lineRule="auto"/>
        <w:ind w:firstLine="480"/>
        <w:rPr>
          <w:sz w:val="28"/>
          <w:szCs w:val="28"/>
        </w:rPr>
      </w:pPr>
      <w:r>
        <w:rPr>
          <w:rFonts w:hint="eastAsia"/>
          <w:sz w:val="28"/>
          <w:szCs w:val="28"/>
        </w:rPr>
        <w:t>5. 优先支持研究内容有创造性、前瞻性和实用性，有商业化前景的课题。</w:t>
      </w:r>
    </w:p>
    <w:p w14:paraId="65927300">
      <w:pPr>
        <w:spacing w:before="0" w:after="0" w:line="360" w:lineRule="auto"/>
        <w:ind w:firstLine="480"/>
        <w:rPr>
          <w:sz w:val="28"/>
          <w:szCs w:val="28"/>
        </w:rPr>
      </w:pPr>
      <w:r>
        <w:rPr>
          <w:rFonts w:hint="eastAsia"/>
          <w:sz w:val="28"/>
          <w:szCs w:val="28"/>
        </w:rPr>
        <w:t>6.优先支持有既往研究数据或明确研究成果的项目，成果有应用价值，课题可复制、可推广，不支持纯理论研究。</w:t>
      </w:r>
    </w:p>
    <w:p w14:paraId="772F858F">
      <w:pPr>
        <w:spacing w:before="0" w:after="0" w:line="360" w:lineRule="auto"/>
        <w:ind w:firstLine="480"/>
        <w:rPr>
          <w:sz w:val="28"/>
          <w:szCs w:val="28"/>
        </w:rPr>
      </w:pPr>
      <w:r>
        <w:rPr>
          <w:rFonts w:hint="eastAsia"/>
          <w:sz w:val="28"/>
          <w:szCs w:val="28"/>
        </w:rPr>
        <w:t>7.优先支持研究方向明确，研究内容详实，研究方案完整可行的课题。</w:t>
      </w:r>
    </w:p>
    <w:p w14:paraId="47C55693">
      <w:pPr>
        <w:spacing w:before="0" w:after="0" w:line="360" w:lineRule="auto"/>
        <w:ind w:firstLine="480"/>
        <w:rPr>
          <w:sz w:val="28"/>
          <w:szCs w:val="28"/>
        </w:rPr>
      </w:pPr>
      <w:r>
        <w:rPr>
          <w:rFonts w:hint="eastAsia"/>
          <w:sz w:val="28"/>
          <w:szCs w:val="28"/>
        </w:rPr>
        <w:t>8.优先支持院校对所申报课题有资金、政策、人员和场地等条件支持的课题。</w:t>
      </w:r>
    </w:p>
    <w:p w14:paraId="33E2517C">
      <w:pPr>
        <w:widowControl w:val="0"/>
        <w:spacing w:before="0" w:after="0" w:line="360" w:lineRule="auto"/>
        <w:ind w:firstLine="480"/>
        <w:rPr>
          <w:sz w:val="28"/>
          <w:szCs w:val="28"/>
        </w:rPr>
      </w:pPr>
      <w:r>
        <w:rPr>
          <w:sz w:val="28"/>
          <w:szCs w:val="28"/>
        </w:rPr>
        <w:t>9</w:t>
      </w:r>
      <w:r>
        <w:rPr>
          <w:rFonts w:hint="eastAsia"/>
          <w:sz w:val="28"/>
          <w:szCs w:val="28"/>
        </w:rPr>
        <w:t>.申请人应客观、真实地填写申请书，没有知识产权争议，遵守国家有关知识产权法规。在课题申请</w:t>
      </w:r>
      <w:r>
        <w:rPr>
          <w:sz w:val="28"/>
          <w:szCs w:val="28"/>
        </w:rPr>
        <w:t>书</w:t>
      </w:r>
      <w:r>
        <w:rPr>
          <w:rFonts w:hint="eastAsia"/>
          <w:sz w:val="28"/>
          <w:szCs w:val="28"/>
        </w:rPr>
        <w:t>中引用他人研究成果时，必须以脚注或其他方式注明出处，引用目的应是介绍、评论与自己的研究相关的成果或说明与自己的研究相关的技术问题。对于伪造、篡改科学数据，抄袭他人著作、论文或者剽窃他人科研成果等科研不端行为，一经查实，将取消申请资格。如获立项即予撤项。</w:t>
      </w:r>
    </w:p>
    <w:p w14:paraId="1F3388F9">
      <w:pPr>
        <w:spacing w:before="0" w:after="0" w:line="360" w:lineRule="auto"/>
        <w:ind w:firstLine="480"/>
        <w:rPr>
          <w:rFonts w:hint="eastAsia"/>
          <w:sz w:val="28"/>
          <w:szCs w:val="28"/>
        </w:rPr>
      </w:pPr>
      <w:r>
        <w:rPr>
          <w:rFonts w:hint="eastAsia"/>
          <w:sz w:val="28"/>
          <w:szCs w:val="28"/>
        </w:rPr>
        <w:t>1</w:t>
      </w:r>
      <w:r>
        <w:rPr>
          <w:sz w:val="28"/>
          <w:szCs w:val="28"/>
        </w:rPr>
        <w:t>0</w:t>
      </w:r>
      <w:r>
        <w:rPr>
          <w:rFonts w:hint="eastAsia"/>
          <w:sz w:val="28"/>
          <w:szCs w:val="28"/>
        </w:rPr>
        <w:t>.</w:t>
      </w:r>
      <w:r>
        <w:rPr>
          <w:rFonts w:hint="default" w:cs="Times New Roman"/>
          <w:color w:val="auto"/>
          <w:sz w:val="28"/>
          <w:szCs w:val="28"/>
          <w:lang w:val="zh-TW" w:eastAsia="zh-TW"/>
        </w:rPr>
        <w:t>在项目开展过程中，</w:t>
      </w:r>
      <w:r>
        <w:rPr>
          <w:rFonts w:hint="eastAsia"/>
          <w:sz w:val="28"/>
          <w:szCs w:val="28"/>
        </w:rPr>
        <w:t>课题组需具备可独立支配的课题研究基础软硬件条件。</w:t>
      </w:r>
      <w:r>
        <w:rPr>
          <w:rFonts w:hint="default" w:cs="Times New Roman"/>
          <w:color w:val="auto"/>
          <w:sz w:val="28"/>
          <w:szCs w:val="28"/>
          <w:lang w:val="zh-TW" w:eastAsia="zh-TW"/>
        </w:rPr>
        <w:t>如需外部资源支持，须在项目申报书中明确指出</w:t>
      </w:r>
      <w:r>
        <w:rPr>
          <w:rFonts w:hint="eastAsia"/>
          <w:sz w:val="28"/>
          <w:szCs w:val="28"/>
        </w:rPr>
        <w:t>。</w:t>
      </w:r>
    </w:p>
    <w:p w14:paraId="0B90DBB4">
      <w:pPr>
        <w:pStyle w:val="3"/>
        <w:keepNext w:val="0"/>
        <w:keepLines w:val="0"/>
        <w:pageBreakBefore w:val="0"/>
        <w:widowControl/>
        <w:numPr>
          <w:numId w:val="0"/>
        </w:numPr>
        <w:kinsoku/>
        <w:wordWrap/>
        <w:overflowPunct/>
        <w:topLinePunct w:val="0"/>
        <w:autoSpaceDE/>
        <w:autoSpaceDN/>
        <w:bidi w:val="0"/>
        <w:adjustRightInd/>
        <w:snapToGrid/>
        <w:spacing w:before="0" w:beforeLines="0" w:line="360" w:lineRule="auto"/>
        <w:ind w:left="561" w:leftChars="0"/>
        <w:textAlignment w:val="auto"/>
        <w:rPr>
          <w:rFonts w:hint="eastAsia" w:ascii="宋体" w:hAnsi="宋体" w:eastAsia="宋体" w:cs="宋体"/>
          <w:sz w:val="32"/>
          <w:szCs w:val="32"/>
        </w:rPr>
      </w:pPr>
      <w:r>
        <w:rPr>
          <w:rFonts w:hint="eastAsia" w:ascii="宋体" w:hAnsi="宋体" w:eastAsia="宋体" w:cs="宋体"/>
          <w:sz w:val="32"/>
          <w:szCs w:val="32"/>
          <w:lang w:val="en-US" w:eastAsia="zh-CN"/>
        </w:rPr>
        <w:t>三、</w:t>
      </w:r>
      <w:r>
        <w:rPr>
          <w:rFonts w:hint="eastAsia" w:ascii="宋体" w:hAnsi="宋体" w:eastAsia="宋体" w:cs="宋体"/>
          <w:sz w:val="32"/>
          <w:szCs w:val="32"/>
        </w:rPr>
        <w:t>资源及服务</w:t>
      </w:r>
    </w:p>
    <w:p w14:paraId="696BBB3C">
      <w:pPr>
        <w:spacing w:before="0" w:after="0" w:line="360" w:lineRule="auto"/>
        <w:ind w:firstLine="480"/>
        <w:rPr>
          <w:rFonts w:hint="default" w:ascii="Times New Roman" w:hAnsi="Times New Roman" w:cs="Times New Roman"/>
          <w:sz w:val="28"/>
          <w:szCs w:val="28"/>
        </w:rPr>
      </w:pPr>
      <w:r>
        <w:rPr>
          <w:rFonts w:hint="default" w:ascii="Times New Roman" w:hAnsi="Times New Roman" w:cs="Times New Roman"/>
          <w:sz w:val="28"/>
          <w:szCs w:val="28"/>
        </w:rPr>
        <w:t>针对入选合作院校，</w:t>
      </w:r>
      <w:r>
        <w:rPr>
          <w:rFonts w:hint="default" w:ascii="Times New Roman" w:hAnsi="Times New Roman" w:cs="Times New Roman"/>
          <w:sz w:val="28"/>
          <w:szCs w:val="28"/>
          <w:lang w:val="en-US" w:eastAsia="zh-CN"/>
        </w:rPr>
        <w:t>基金</w:t>
      </w:r>
      <w:r>
        <w:rPr>
          <w:rFonts w:hint="default" w:ascii="Times New Roman" w:hAnsi="Times New Roman" w:cs="Times New Roman"/>
          <w:sz w:val="28"/>
          <w:szCs w:val="28"/>
        </w:rPr>
        <w:t>将提供完善的资源和服务体系（见表三），以保证院校顺利开展合作项目，并为院校</w:t>
      </w:r>
      <w:r>
        <w:rPr>
          <w:rFonts w:hint="default" w:ascii="Times New Roman" w:hAnsi="Times New Roman" w:cs="Times New Roman"/>
          <w:sz w:val="28"/>
          <w:szCs w:val="28"/>
          <w:lang w:val="en-US" w:eastAsia="zh-CN"/>
        </w:rPr>
        <w:t>检验、超声、监护</w:t>
      </w:r>
      <w:r>
        <w:rPr>
          <w:rFonts w:hint="default" w:ascii="Times New Roman" w:hAnsi="Times New Roman" w:cs="Times New Roman"/>
          <w:sz w:val="28"/>
          <w:szCs w:val="28"/>
        </w:rPr>
        <w:t>医学方向的学科建设及人才培养提供长期有效的支持。</w:t>
      </w:r>
    </w:p>
    <w:p w14:paraId="16F67239">
      <w:pPr>
        <w:pStyle w:val="2"/>
        <w:spacing w:before="0" w:after="156" w:afterLines="50" w:line="360" w:lineRule="auto"/>
        <w:ind w:firstLine="560" w:firstLineChars="200"/>
        <w:jc w:val="left"/>
        <w:rPr>
          <w:rFonts w:hint="default" w:ascii="Times New Roman" w:hAnsi="Times New Roman" w:eastAsia="宋体" w:cs="Times New Roman"/>
          <w:b w:val="0"/>
          <w:bCs w:val="0"/>
          <w:color w:val="000000" w:themeColor="text1"/>
          <w:sz w:val="28"/>
          <w:szCs w:val="28"/>
          <w14:textFill>
            <w14:solidFill>
              <w14:schemeClr w14:val="tx1"/>
            </w14:solidFill>
          </w14:textFill>
        </w:rPr>
      </w:pPr>
      <w:r>
        <w:rPr>
          <w:rFonts w:hint="default" w:ascii="Times New Roman" w:hAnsi="Times New Roman" w:eastAsia="宋体" w:cs="Times New Roman"/>
          <w:b w:val="0"/>
          <w:bCs w:val="0"/>
          <w:color w:val="000000" w:themeColor="text1"/>
          <w:sz w:val="28"/>
          <w:szCs w:val="28"/>
          <w14:textFill>
            <w14:solidFill>
              <w14:schemeClr w14:val="tx1"/>
            </w14:solidFill>
          </w14:textFill>
        </w:rPr>
        <w:t>1.“</w:t>
      </w:r>
      <w:r>
        <w:rPr>
          <w:rFonts w:hint="default" w:ascii="Times New Roman" w:hAnsi="Times New Roman" w:eastAsia="宋体" w:cs="Times New Roman"/>
          <w:b w:val="0"/>
          <w:bCs w:val="0"/>
          <w:color w:val="000000" w:themeColor="text1"/>
          <w:sz w:val="28"/>
          <w:szCs w:val="28"/>
          <w:lang w:val="en-US" w:eastAsia="zh-CN"/>
          <w14:textFill>
            <w14:solidFill>
              <w14:schemeClr w14:val="tx1"/>
            </w14:solidFill>
          </w14:textFill>
        </w:rPr>
        <w:t>迈瑞</w:t>
      </w:r>
      <w:r>
        <w:rPr>
          <w:rFonts w:hint="default" w:ascii="Times New Roman" w:hAnsi="Times New Roman" w:eastAsia="宋体" w:cs="Times New Roman"/>
          <w:b w:val="0"/>
          <w:bCs w:val="0"/>
          <w:color w:val="000000" w:themeColor="text1"/>
          <w:sz w:val="28"/>
          <w:szCs w:val="28"/>
          <w14:textFill>
            <w14:solidFill>
              <w14:schemeClr w14:val="tx1"/>
            </w14:solidFill>
          </w14:textFill>
        </w:rPr>
        <w:t>专项”为每个立项课题提供对应的经费支持与技术服务支持。</w:t>
      </w:r>
    </w:p>
    <w:p w14:paraId="3A009A57">
      <w:pPr>
        <w:spacing w:before="0" w:after="0" w:line="360" w:lineRule="auto"/>
        <w:ind w:firstLine="480"/>
        <w:rPr>
          <w:rFonts w:hint="default" w:ascii="Times New Roman" w:hAnsi="Times New Roman" w:cs="Times New Roman"/>
          <w:color w:val="auto"/>
          <w:sz w:val="28"/>
          <w:szCs w:val="28"/>
        </w:rPr>
      </w:pPr>
      <w:r>
        <w:rPr>
          <w:rFonts w:hint="default" w:ascii="Times New Roman" w:hAnsi="Times New Roman" w:cs="Times New Roman"/>
          <w:sz w:val="28"/>
          <w:szCs w:val="28"/>
        </w:rPr>
        <w:t>2.项目发起单位将为院校申报该专项课题提供项目咨询服务和技术支持，辅助科研项目方案的落地实行和成果产业化。</w:t>
      </w:r>
    </w:p>
    <w:p w14:paraId="1EF8C25A">
      <w:pPr>
        <w:pStyle w:val="16"/>
        <w:spacing w:before="156" w:beforeLines="50" w:after="0" w:line="360" w:lineRule="auto"/>
        <w:ind w:left="920" w:firstLine="984" w:firstLineChars="350"/>
        <w:rPr>
          <w:b/>
          <w:color w:val="auto"/>
          <w:sz w:val="28"/>
          <w:szCs w:val="28"/>
        </w:rPr>
      </w:pPr>
      <w:r>
        <w:rPr>
          <w:rFonts w:hint="eastAsia"/>
          <w:b/>
          <w:color w:val="auto"/>
          <w:sz w:val="28"/>
          <w:szCs w:val="28"/>
        </w:rPr>
        <w:t>表三 提供给课题研究的软硬件平台说明</w:t>
      </w:r>
    </w:p>
    <w:tbl>
      <w:tblPr>
        <w:tblStyle w:val="11"/>
        <w:tblW w:w="89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9"/>
        <w:gridCol w:w="1418"/>
        <w:gridCol w:w="6401"/>
      </w:tblGrid>
      <w:tr w14:paraId="054CA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129" w:type="dxa"/>
            <w:shd w:val="clear" w:color="000000" w:fill="C0C0C0"/>
            <w:vAlign w:val="center"/>
          </w:tcPr>
          <w:p w14:paraId="22BCCD9F">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center"/>
              <w:textAlignment w:val="auto"/>
              <w:rPr>
                <w:rFonts w:cs="Times New Roman"/>
                <w:b/>
                <w:color w:val="auto"/>
                <w:sz w:val="24"/>
                <w:szCs w:val="24"/>
              </w:rPr>
            </w:pPr>
            <w:r>
              <w:rPr>
                <w:rFonts w:hint="eastAsia" w:cs="Times New Roman"/>
                <w:b/>
                <w:color w:val="auto"/>
                <w:sz w:val="24"/>
                <w:szCs w:val="24"/>
                <w:lang w:val="en-US" w:eastAsia="zh-CN"/>
              </w:rPr>
              <w:t>序</w:t>
            </w:r>
            <w:r>
              <w:rPr>
                <w:rFonts w:hint="default" w:cs="Times New Roman"/>
                <w:b/>
                <w:color w:val="auto"/>
                <w:sz w:val="24"/>
                <w:szCs w:val="24"/>
              </w:rPr>
              <w:t>号</w:t>
            </w:r>
          </w:p>
        </w:tc>
        <w:tc>
          <w:tcPr>
            <w:tcW w:w="1418" w:type="dxa"/>
            <w:shd w:val="clear" w:color="000000" w:fill="C0C0C0"/>
            <w:vAlign w:val="center"/>
          </w:tcPr>
          <w:p w14:paraId="359411ED">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center"/>
              <w:textAlignment w:val="auto"/>
              <w:rPr>
                <w:rFonts w:cs="Times New Roman"/>
                <w:b/>
                <w:color w:val="auto"/>
                <w:sz w:val="24"/>
                <w:szCs w:val="24"/>
              </w:rPr>
            </w:pPr>
            <w:r>
              <w:rPr>
                <w:rFonts w:hint="default" w:cs="Times New Roman"/>
                <w:b/>
                <w:color w:val="auto"/>
                <w:sz w:val="24"/>
                <w:szCs w:val="24"/>
              </w:rPr>
              <w:t>名称</w:t>
            </w:r>
          </w:p>
        </w:tc>
        <w:tc>
          <w:tcPr>
            <w:tcW w:w="6401" w:type="dxa"/>
            <w:shd w:val="clear" w:color="000000" w:fill="C0C0C0"/>
            <w:vAlign w:val="center"/>
          </w:tcPr>
          <w:p w14:paraId="66AA09E6">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center"/>
              <w:textAlignment w:val="auto"/>
              <w:rPr>
                <w:rFonts w:cs="Times New Roman"/>
                <w:b/>
                <w:color w:val="auto"/>
                <w:sz w:val="24"/>
                <w:szCs w:val="24"/>
              </w:rPr>
            </w:pPr>
            <w:r>
              <w:rPr>
                <w:rFonts w:hint="default" w:cs="Times New Roman"/>
                <w:b/>
                <w:color w:val="auto"/>
                <w:sz w:val="24"/>
                <w:szCs w:val="24"/>
              </w:rPr>
              <w:t>详细介绍</w:t>
            </w:r>
          </w:p>
        </w:tc>
      </w:tr>
      <w:tr w14:paraId="101EB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8" w:hRule="atLeast"/>
          <w:jc w:val="center"/>
        </w:trPr>
        <w:tc>
          <w:tcPr>
            <w:tcW w:w="1129" w:type="dxa"/>
            <w:shd w:val="clear" w:color="auto" w:fill="auto"/>
            <w:vAlign w:val="center"/>
          </w:tcPr>
          <w:p w14:paraId="2483EE77">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center"/>
              <w:textAlignment w:val="auto"/>
              <w:rPr>
                <w:rFonts w:cs="Times New Roman"/>
                <w:color w:val="auto"/>
                <w:sz w:val="24"/>
                <w:szCs w:val="24"/>
              </w:rPr>
            </w:pPr>
            <w:r>
              <w:rPr>
                <w:rFonts w:hint="default" w:cs="Times New Roman"/>
                <w:color w:val="auto"/>
                <w:sz w:val="24"/>
                <w:szCs w:val="24"/>
              </w:rPr>
              <w:t>01</w:t>
            </w:r>
          </w:p>
        </w:tc>
        <w:tc>
          <w:tcPr>
            <w:tcW w:w="1418" w:type="dxa"/>
            <w:shd w:val="clear" w:color="auto" w:fill="auto"/>
            <w:vAlign w:val="center"/>
          </w:tcPr>
          <w:p w14:paraId="7C775659">
            <w:pPr>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cs="Times New Roman"/>
                <w:sz w:val="24"/>
                <w:szCs w:val="24"/>
              </w:rPr>
            </w:pPr>
            <w:r>
              <w:rPr>
                <w:rFonts w:hint="default" w:cs="Times New Roman"/>
                <w:sz w:val="24"/>
                <w:szCs w:val="24"/>
              </w:rPr>
              <w:t>全自动化学发光免疫分析仪</w:t>
            </w:r>
          </w:p>
          <w:p w14:paraId="3D7656B9">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ascii="Times New Roman" w:hAnsi="Times New Roman" w:eastAsia="宋体" w:cs="Times New Roman"/>
                <w:iCs/>
                <w:color w:val="000000" w:themeColor="text1"/>
                <w:sz w:val="24"/>
                <w:szCs w:val="24"/>
                <w:lang w:val="en-US" w:eastAsia="zh-CN" w:bidi="ar-SA"/>
                <w14:textFill>
                  <w14:solidFill>
                    <w14:schemeClr w14:val="tx1"/>
                  </w14:solidFill>
                </w14:textFill>
              </w:rPr>
            </w:pPr>
          </w:p>
        </w:tc>
        <w:tc>
          <w:tcPr>
            <w:tcW w:w="6401" w:type="dxa"/>
            <w:shd w:val="clear" w:color="auto" w:fill="auto"/>
            <w:vAlign w:val="center"/>
          </w:tcPr>
          <w:p w14:paraId="344703CF">
            <w:pPr>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cs="Times New Roman"/>
                <w:sz w:val="24"/>
                <w:szCs w:val="24"/>
              </w:rPr>
              <w:t>CL-8000i全自动化学发光免疫分析系统，采用基于AMPPD和碱性磷酸酶的间接化学发光法，与配套的检测试剂共同使用，在临床上用于对来源于人体的血清、血浆和尿液样本中的被分析物进行定性或定量检测，包括激素、糖尿病、心肌标志物、肿瘤标志物、感染性疾病的相关项目。采用VU-Mix和FS-Sampling等技术，使检测结果更加精准稳定。一键校准质控、快速试剂更换等易用性设计，大幅提高工作效率。高通量的检测速度、样本急中急功能，有效保障TAT时间。</w:t>
            </w:r>
          </w:p>
        </w:tc>
      </w:tr>
      <w:tr w14:paraId="13873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1129" w:type="dxa"/>
            <w:shd w:val="clear" w:color="auto" w:fill="auto"/>
            <w:vAlign w:val="center"/>
          </w:tcPr>
          <w:p w14:paraId="228408FD">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center"/>
              <w:textAlignment w:val="auto"/>
              <w:rPr>
                <w:rFonts w:cs="Times New Roman"/>
                <w:color w:val="auto"/>
                <w:sz w:val="24"/>
                <w:szCs w:val="24"/>
              </w:rPr>
            </w:pPr>
            <w:r>
              <w:rPr>
                <w:rFonts w:hint="default" w:cs="Times New Roman"/>
                <w:color w:val="auto"/>
                <w:sz w:val="24"/>
                <w:szCs w:val="24"/>
              </w:rPr>
              <w:t>02</w:t>
            </w:r>
          </w:p>
        </w:tc>
        <w:tc>
          <w:tcPr>
            <w:tcW w:w="1418" w:type="dxa"/>
            <w:shd w:val="clear" w:color="auto" w:fill="auto"/>
            <w:vAlign w:val="center"/>
          </w:tcPr>
          <w:p w14:paraId="3D1A6E34">
            <w:pPr>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cs="Times New Roman"/>
                <w:sz w:val="24"/>
                <w:szCs w:val="24"/>
              </w:rPr>
              <w:t>全自动生化分析系统</w:t>
            </w:r>
          </w:p>
        </w:tc>
        <w:tc>
          <w:tcPr>
            <w:tcW w:w="6401" w:type="dxa"/>
            <w:shd w:val="clear" w:color="auto" w:fill="auto"/>
            <w:vAlign w:val="center"/>
          </w:tcPr>
          <w:p w14:paraId="7A53FCD6">
            <w:pPr>
              <w:keepNext w:val="0"/>
              <w:keepLines w:val="0"/>
              <w:pageBreakBefore w:val="0"/>
              <w:widowControl/>
              <w:kinsoku/>
              <w:wordWrap/>
              <w:overflowPunct/>
              <w:topLinePunct w:val="0"/>
              <w:autoSpaceDE/>
              <w:autoSpaceDN/>
              <w:bidi w:val="0"/>
              <w:adjustRightInd/>
              <w:snapToGrid/>
              <w:spacing w:line="240" w:lineRule="auto"/>
              <w:ind w:firstLine="0" w:firstLineChars="0"/>
              <w:textAlignment w:val="auto"/>
              <w:rPr>
                <w:rFonts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cs="Times New Roman"/>
                <w:sz w:val="24"/>
                <w:szCs w:val="24"/>
              </w:rPr>
              <w:t>BS-2800M</w:t>
            </w:r>
            <w:r>
              <w:rPr>
                <w:rFonts w:hint="default" w:cs="Times New Roman"/>
                <w:sz w:val="24"/>
                <w:szCs w:val="24"/>
              </w:rPr>
              <w:t>全自动生化分析仪可1分钟极速启动检测，将携带污染率控制在0.1ppm以下，可报告超精密的检测结果，提供血清指数低成本及关联提醒方案。系统内嵌独创的全景动态光测平台（PDR™技术），通过先进的传感技术与大数据运算技术，实现了全波长、全时段、全反应域并行和动态地收集数据，相比传统光测技术，结果运算的数据量扩充了1000倍。同时，系统通过信号模式识别与机器学习技术实现了数据间相互校验，保证反应过程中的每个点采集的数据都精准可靠。</w:t>
            </w:r>
          </w:p>
        </w:tc>
      </w:tr>
      <w:tr w14:paraId="3744A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8" w:hRule="atLeast"/>
          <w:jc w:val="center"/>
        </w:trPr>
        <w:tc>
          <w:tcPr>
            <w:tcW w:w="1129" w:type="dxa"/>
            <w:shd w:val="clear" w:color="auto" w:fill="auto"/>
            <w:vAlign w:val="center"/>
          </w:tcPr>
          <w:p w14:paraId="5DB98019">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center"/>
              <w:textAlignment w:val="auto"/>
              <w:rPr>
                <w:rFonts w:cs="Times New Roman"/>
                <w:color w:val="auto"/>
                <w:sz w:val="24"/>
                <w:szCs w:val="24"/>
              </w:rPr>
            </w:pPr>
            <w:r>
              <w:rPr>
                <w:rFonts w:hint="default" w:cs="Times New Roman"/>
                <w:color w:val="auto"/>
                <w:sz w:val="24"/>
                <w:szCs w:val="24"/>
              </w:rPr>
              <w:t>0</w:t>
            </w:r>
            <w:r>
              <w:rPr>
                <w:rFonts w:cs="Times New Roman"/>
                <w:color w:val="auto"/>
                <w:sz w:val="24"/>
                <w:szCs w:val="24"/>
              </w:rPr>
              <w:t>3</w:t>
            </w:r>
          </w:p>
        </w:tc>
        <w:tc>
          <w:tcPr>
            <w:tcW w:w="1418" w:type="dxa"/>
            <w:shd w:val="clear" w:color="auto" w:fill="auto"/>
            <w:vAlign w:val="center"/>
          </w:tcPr>
          <w:p w14:paraId="5A764876">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cs="Times New Roman"/>
                <w:sz w:val="24"/>
                <w:szCs w:val="24"/>
              </w:rPr>
              <w:t>全自动血液细胞分析流水线系统</w:t>
            </w:r>
          </w:p>
        </w:tc>
        <w:tc>
          <w:tcPr>
            <w:tcW w:w="6401" w:type="dxa"/>
            <w:shd w:val="clear" w:color="auto" w:fill="auto"/>
            <w:vAlign w:val="center"/>
          </w:tcPr>
          <w:p w14:paraId="700486FE">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cs="Times New Roman"/>
                <w:sz w:val="24"/>
                <w:szCs w:val="24"/>
              </w:rPr>
              <w:t>CAL 8000全自动样本处理系统与全自动血细胞分析仪、全自动推片染色机连接成血液细胞分析流水线，实现血液样本的自动调度与分配、运输、回收、异常样本自动智能复检。流水线可选择全自动血细胞分析仪、全自动推片机数量组合成不同测试速度的血细胞分析流水线。急诊样本可在装载平台快速插入，保证急诊样本得以优先、及时测试。提供机外试剂存储设备，可在不停止样本检测的情况下更换试剂。</w:t>
            </w:r>
          </w:p>
        </w:tc>
      </w:tr>
      <w:tr w14:paraId="29F2DD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9" w:hRule="atLeast"/>
          <w:jc w:val="center"/>
        </w:trPr>
        <w:tc>
          <w:tcPr>
            <w:tcW w:w="1129" w:type="dxa"/>
            <w:shd w:val="clear" w:color="auto" w:fill="auto"/>
            <w:vAlign w:val="center"/>
          </w:tcPr>
          <w:p w14:paraId="1DFFA846">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center"/>
              <w:textAlignment w:val="auto"/>
              <w:rPr>
                <w:rFonts w:cs="Times New Roman"/>
                <w:color w:val="auto"/>
                <w:sz w:val="24"/>
                <w:szCs w:val="24"/>
              </w:rPr>
            </w:pPr>
            <w:r>
              <w:rPr>
                <w:rFonts w:hint="default" w:cs="Times New Roman"/>
                <w:color w:val="auto"/>
                <w:sz w:val="24"/>
                <w:szCs w:val="24"/>
              </w:rPr>
              <w:t>04</w:t>
            </w:r>
          </w:p>
        </w:tc>
        <w:tc>
          <w:tcPr>
            <w:tcW w:w="1418" w:type="dxa"/>
            <w:shd w:val="clear" w:color="auto" w:fill="auto"/>
            <w:vAlign w:val="center"/>
          </w:tcPr>
          <w:p w14:paraId="4E52D0F8">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cs="Times New Roman"/>
                <w:sz w:val="24"/>
                <w:szCs w:val="24"/>
              </w:rPr>
              <w:t>全自动凝血分析流水线系统</w:t>
            </w:r>
          </w:p>
        </w:tc>
        <w:tc>
          <w:tcPr>
            <w:tcW w:w="6401" w:type="dxa"/>
            <w:shd w:val="clear" w:color="auto" w:fill="auto"/>
            <w:vAlign w:val="center"/>
          </w:tcPr>
          <w:p w14:paraId="7A782525">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cs="Times New Roman"/>
                <w:sz w:val="24"/>
                <w:szCs w:val="24"/>
              </w:rPr>
              <w:t>CX-9000全自动凝血分析系统，基于定频恒速光测平台集合凝固法、发色底物法、免疫比浊法检测技术，与创新的联杯液体试剂配套使用，在临床上用于对血浆样本中的止血与溶血指标进行定量检测。分析系统根据凝血实验室检测场景及操作流程，突破创新。通过独创的定频恒速技术、多模态即热技术、试剂空中加油技术，实现了对样本TAT管理效率突破性的提升；通过独创的试剂性状及承载形式、智慧全面的信息管理系统，实现了对试剂性能、检测成本精益化的管理。</w:t>
            </w:r>
          </w:p>
        </w:tc>
      </w:tr>
      <w:tr w14:paraId="21DBA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8" w:hRule="atLeast"/>
          <w:jc w:val="center"/>
        </w:trPr>
        <w:tc>
          <w:tcPr>
            <w:tcW w:w="1129" w:type="dxa"/>
            <w:shd w:val="clear" w:color="auto" w:fill="auto"/>
            <w:vAlign w:val="center"/>
          </w:tcPr>
          <w:p w14:paraId="55A64294">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center"/>
              <w:textAlignment w:val="auto"/>
              <w:rPr>
                <w:rFonts w:cs="Times New Roman"/>
                <w:color w:val="auto"/>
                <w:sz w:val="24"/>
                <w:szCs w:val="24"/>
              </w:rPr>
            </w:pPr>
            <w:r>
              <w:rPr>
                <w:rFonts w:hint="default" w:cs="Times New Roman"/>
                <w:sz w:val="24"/>
                <w:szCs w:val="24"/>
              </w:rPr>
              <w:t>05</w:t>
            </w:r>
          </w:p>
        </w:tc>
        <w:tc>
          <w:tcPr>
            <w:tcW w:w="1418" w:type="dxa"/>
            <w:shd w:val="clear" w:color="auto" w:fill="auto"/>
            <w:vAlign w:val="center"/>
          </w:tcPr>
          <w:p w14:paraId="70294D38">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cs="Times New Roman"/>
                <w:sz w:val="24"/>
                <w:szCs w:val="24"/>
              </w:rPr>
              <w:t>全自动尿液分析流水线系统</w:t>
            </w:r>
          </w:p>
        </w:tc>
        <w:tc>
          <w:tcPr>
            <w:tcW w:w="6401" w:type="dxa"/>
            <w:shd w:val="clear" w:color="auto" w:fill="auto"/>
            <w:vAlign w:val="center"/>
          </w:tcPr>
          <w:p w14:paraId="583DB479">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cs="Times New Roman"/>
                <w:sz w:val="24"/>
                <w:szCs w:val="24"/>
              </w:rPr>
              <w:t>EU 8600全自动尿液分析流水线是一款干化学与尿沉渣结果符合率极高的高性能流水线，可以大幅降低手工离心镜检率。多景深融合技术，拍摄单个视野细胞的时候，拍摄了多幅不同高度下的细胞图像，然后将每一层中细胞最清晰特征提取出来，融合形成一张高清的细胞图像；高速稳定运动控制平台，在将速度提升10倍的前提下，还将抖动幅度控制在100nm的水平。</w:t>
            </w:r>
          </w:p>
        </w:tc>
      </w:tr>
      <w:tr w14:paraId="671038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1129" w:type="dxa"/>
            <w:shd w:val="clear" w:color="auto" w:fill="auto"/>
            <w:vAlign w:val="center"/>
          </w:tcPr>
          <w:p w14:paraId="13E70E51">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center"/>
              <w:textAlignment w:val="auto"/>
              <w:rPr>
                <w:rFonts w:cs="Times New Roman"/>
                <w:color w:val="auto"/>
                <w:sz w:val="24"/>
                <w:szCs w:val="24"/>
              </w:rPr>
            </w:pPr>
            <w:r>
              <w:rPr>
                <w:rFonts w:hint="default" w:cs="Times New Roman"/>
                <w:sz w:val="24"/>
                <w:szCs w:val="24"/>
              </w:rPr>
              <w:t>06</w:t>
            </w:r>
          </w:p>
        </w:tc>
        <w:tc>
          <w:tcPr>
            <w:tcW w:w="1418" w:type="dxa"/>
            <w:shd w:val="clear" w:color="auto" w:fill="auto"/>
            <w:vAlign w:val="center"/>
          </w:tcPr>
          <w:p w14:paraId="05F2010C">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cs="Times New Roman"/>
                <w:sz w:val="24"/>
                <w:szCs w:val="24"/>
              </w:rPr>
              <w:t>全自动微生物鉴定药敏分析系统</w:t>
            </w:r>
          </w:p>
        </w:tc>
        <w:tc>
          <w:tcPr>
            <w:tcW w:w="6401" w:type="dxa"/>
            <w:shd w:val="clear" w:color="auto" w:fill="auto"/>
            <w:vAlign w:val="center"/>
          </w:tcPr>
          <w:p w14:paraId="73A4697B">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cs="Times New Roman"/>
                <w:sz w:val="24"/>
                <w:szCs w:val="24"/>
              </w:rPr>
            </w:pPr>
            <w:r>
              <w:rPr>
                <w:rFonts w:cs="Times New Roman"/>
                <w:sz w:val="24"/>
                <w:szCs w:val="24"/>
              </w:rPr>
              <w:t>AF-600</w:t>
            </w:r>
            <w:r>
              <w:rPr>
                <w:rFonts w:hint="default" w:cs="Times New Roman"/>
                <w:sz w:val="24"/>
                <w:szCs w:val="24"/>
              </w:rPr>
              <w:t>全自动微生物鉴定药敏分析系统可容纳32/64个标本同时检测，随到随检；测试卡检测过程中自动动态判读、自动归集、自动自检。与其配套的药敏检测试剂盒如下：肠杆菌科细菌检测试剂盒 TDR ONE-96、非发酵菌检测试剂盒 TDR NF-96 、葡萄球菌检测试剂盒 TDR STAPH-96、链球菌科细菌检测试剂盒 TDR STR-96 、酵母样真菌检测试剂盒 TDR YEAST-96、奈瑟菌/嗜血杆菌检测试剂盒 TDR NH-96、棒状杆菌检测试剂盒 TDR CB-96、芽孢杆菌检测试剂盒 TDR BAC-96、弧菌科细菌检测试剂盒 TDR VIB-96</w:t>
            </w:r>
          </w:p>
          <w:p w14:paraId="626B7AD7">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hint="eastAsia"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cs="Times New Roman"/>
                <w:sz w:val="24"/>
                <w:szCs w:val="24"/>
              </w:rPr>
              <w:t>、厌氧菌生化·药敏试验卡 TDR ANA-96、链球菌科细菌检测试剂盒 TDR STR-AST、酵母样真菌检测试剂盒 TDR YEAST-AST、奈瑟菌/嗜血杆菌检测试剂盒 TDR NH-AST</w:t>
            </w:r>
            <w:r>
              <w:rPr>
                <w:rFonts w:hint="eastAsia" w:cs="Times New Roman"/>
                <w:sz w:val="24"/>
                <w:szCs w:val="24"/>
                <w:lang w:eastAsia="zh-CN"/>
              </w:rPr>
              <w:t>。</w:t>
            </w:r>
          </w:p>
        </w:tc>
      </w:tr>
      <w:tr w14:paraId="588C3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129" w:type="dxa"/>
            <w:shd w:val="clear" w:color="auto" w:fill="auto"/>
            <w:vAlign w:val="center"/>
          </w:tcPr>
          <w:p w14:paraId="67CFE58D">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center"/>
              <w:textAlignment w:val="auto"/>
              <w:rPr>
                <w:rFonts w:cs="Times New Roman"/>
                <w:color w:val="auto"/>
                <w:sz w:val="24"/>
                <w:szCs w:val="24"/>
              </w:rPr>
            </w:pPr>
            <w:r>
              <w:rPr>
                <w:rFonts w:cs="Times New Roman"/>
                <w:color w:val="auto"/>
                <w:sz w:val="24"/>
                <w:szCs w:val="24"/>
              </w:rPr>
              <w:t>0</w:t>
            </w:r>
            <w:r>
              <w:rPr>
                <w:rFonts w:hint="default" w:cs="Times New Roman"/>
                <w:color w:val="auto"/>
                <w:sz w:val="24"/>
                <w:szCs w:val="24"/>
              </w:rPr>
              <w:t>7</w:t>
            </w:r>
          </w:p>
        </w:tc>
        <w:tc>
          <w:tcPr>
            <w:tcW w:w="1418" w:type="dxa"/>
            <w:shd w:val="clear" w:color="auto" w:fill="auto"/>
            <w:vAlign w:val="center"/>
          </w:tcPr>
          <w:p w14:paraId="12820DDD">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cs="Times New Roman"/>
                <w:sz w:val="24"/>
                <w:szCs w:val="24"/>
              </w:rPr>
              <w:t>发光-肿瘤标志物检测</w:t>
            </w:r>
          </w:p>
        </w:tc>
        <w:tc>
          <w:tcPr>
            <w:tcW w:w="6401" w:type="dxa"/>
            <w:shd w:val="clear" w:color="auto" w:fill="auto"/>
            <w:vAlign w:val="top"/>
          </w:tcPr>
          <w:p w14:paraId="61806C2E">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cs="Times New Roman"/>
                <w:sz w:val="24"/>
                <w:szCs w:val="24"/>
              </w:rPr>
              <w:t>包括CA19-9、ProGRP、CA242、AFP、CEA、CA125、CA153、TPSA、FPSA、FERR、CA724、NSE、Cyfra21-1、PGI、PGII、CA50、SCCA、HE4有助于肺癌、胃肠恶性肿瘤、卵巢癌等的诊断、鉴别诊断及还可用于病程评估、预后判断和转移复发监测。</w:t>
            </w:r>
          </w:p>
        </w:tc>
      </w:tr>
      <w:tr w14:paraId="7F7D5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129" w:type="dxa"/>
            <w:shd w:val="clear" w:color="auto" w:fill="auto"/>
            <w:vAlign w:val="center"/>
          </w:tcPr>
          <w:p w14:paraId="1DA39988">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center"/>
              <w:textAlignment w:val="auto"/>
              <w:rPr>
                <w:rFonts w:cs="Times New Roman"/>
                <w:color w:val="auto"/>
                <w:sz w:val="24"/>
                <w:szCs w:val="24"/>
              </w:rPr>
            </w:pPr>
            <w:r>
              <w:rPr>
                <w:rFonts w:cs="Times New Roman"/>
                <w:color w:val="auto"/>
                <w:sz w:val="24"/>
                <w:szCs w:val="24"/>
              </w:rPr>
              <w:t>0</w:t>
            </w:r>
            <w:r>
              <w:rPr>
                <w:rFonts w:hint="default" w:cs="Times New Roman"/>
                <w:color w:val="auto"/>
                <w:sz w:val="24"/>
                <w:szCs w:val="24"/>
              </w:rPr>
              <w:t>8</w:t>
            </w:r>
          </w:p>
        </w:tc>
        <w:tc>
          <w:tcPr>
            <w:tcW w:w="1418" w:type="dxa"/>
            <w:shd w:val="clear" w:color="auto" w:fill="auto"/>
            <w:vAlign w:val="center"/>
          </w:tcPr>
          <w:p w14:paraId="5EC3F8C0">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cs="Times New Roman"/>
                <w:sz w:val="24"/>
                <w:szCs w:val="24"/>
              </w:rPr>
              <w:t>发光-甲状腺功能检测</w:t>
            </w:r>
          </w:p>
        </w:tc>
        <w:tc>
          <w:tcPr>
            <w:tcW w:w="6401" w:type="dxa"/>
            <w:shd w:val="clear" w:color="auto" w:fill="auto"/>
            <w:vAlign w:val="top"/>
          </w:tcPr>
          <w:p w14:paraId="2EDDBD60">
            <w:pPr>
              <w:keepNext w:val="0"/>
              <w:keepLines w:val="0"/>
              <w:pageBreakBefore w:val="0"/>
              <w:widowControl/>
              <w:shd w:val="clear" w:color="auto" w:fill="FFFFFF"/>
              <w:kinsoku/>
              <w:wordWrap/>
              <w:overflowPunct/>
              <w:topLinePunct w:val="0"/>
              <w:autoSpaceDE/>
              <w:autoSpaceDN/>
              <w:bidi w:val="0"/>
              <w:adjustRightInd/>
              <w:snapToGrid/>
              <w:spacing w:before="0" w:after="180" w:line="240" w:lineRule="auto"/>
              <w:ind w:firstLine="0" w:firstLineChars="0"/>
              <w:jc w:val="left"/>
              <w:textAlignment w:val="auto"/>
              <w:rPr>
                <w:rFonts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cs="Times New Roman"/>
                <w:sz w:val="24"/>
                <w:szCs w:val="24"/>
              </w:rPr>
              <w:t>包括项目：TSH、T3、T4、FT3、FT4、rT3、TPOAb、TgAb、TRAb、Tg，主要用于甲状腺相关疾病诊断、治疗监测等。</w:t>
            </w:r>
          </w:p>
        </w:tc>
      </w:tr>
      <w:tr w14:paraId="1BBE1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129" w:type="dxa"/>
            <w:shd w:val="clear" w:color="auto" w:fill="auto"/>
            <w:vAlign w:val="center"/>
          </w:tcPr>
          <w:p w14:paraId="2429162A">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center"/>
              <w:textAlignment w:val="auto"/>
              <w:rPr>
                <w:rFonts w:cs="Times New Roman"/>
                <w:color w:val="auto"/>
                <w:sz w:val="24"/>
                <w:szCs w:val="24"/>
              </w:rPr>
            </w:pPr>
            <w:r>
              <w:rPr>
                <w:rFonts w:hint="default" w:cs="Times New Roman"/>
                <w:color w:val="auto"/>
                <w:sz w:val="24"/>
                <w:szCs w:val="24"/>
              </w:rPr>
              <w:t>09</w:t>
            </w:r>
          </w:p>
        </w:tc>
        <w:tc>
          <w:tcPr>
            <w:tcW w:w="1418" w:type="dxa"/>
            <w:shd w:val="clear" w:color="auto" w:fill="auto"/>
            <w:vAlign w:val="center"/>
          </w:tcPr>
          <w:p w14:paraId="6AD17520">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cs="Times New Roman"/>
                <w:sz w:val="24"/>
                <w:szCs w:val="24"/>
              </w:rPr>
              <w:t>发光-传染性疾病检测</w:t>
            </w:r>
          </w:p>
        </w:tc>
        <w:tc>
          <w:tcPr>
            <w:tcW w:w="6401" w:type="dxa"/>
            <w:shd w:val="clear" w:color="auto" w:fill="auto"/>
            <w:vAlign w:val="top"/>
          </w:tcPr>
          <w:p w14:paraId="4C0C5E3F">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cs="Times New Roman"/>
                <w:sz w:val="24"/>
                <w:szCs w:val="24"/>
              </w:rPr>
              <w:t>包括项目：HBsAg、Anti-HBs、HBeAg、Q-HBeAg、Anti-HBe、Q-Anti-HBe、Anti-HBc、Q-Anti-HBc、HIV Ag/Ab、Anti-HCV、Anti-TP,临床上可用于对乙型肝炎病毒、艾滋病毒、梅毒、丙型肝炎病毒感染疾病的诊断、病程评估、治疗监测和预后判断。</w:t>
            </w:r>
          </w:p>
        </w:tc>
      </w:tr>
      <w:tr w14:paraId="03249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1129" w:type="dxa"/>
            <w:shd w:val="clear" w:color="auto" w:fill="auto"/>
            <w:vAlign w:val="center"/>
          </w:tcPr>
          <w:p w14:paraId="0A40E0D5">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center"/>
              <w:textAlignment w:val="auto"/>
              <w:rPr>
                <w:rFonts w:cs="Times New Roman"/>
                <w:sz w:val="24"/>
                <w:szCs w:val="24"/>
              </w:rPr>
            </w:pPr>
            <w:r>
              <w:rPr>
                <w:rFonts w:cs="Times New Roman"/>
                <w:color w:val="auto"/>
                <w:sz w:val="24"/>
                <w:szCs w:val="24"/>
              </w:rPr>
              <w:t>1</w:t>
            </w:r>
            <w:r>
              <w:rPr>
                <w:rFonts w:hint="default" w:cs="Times New Roman"/>
                <w:color w:val="auto"/>
                <w:sz w:val="24"/>
                <w:szCs w:val="24"/>
              </w:rPr>
              <w:t>0</w:t>
            </w:r>
          </w:p>
        </w:tc>
        <w:tc>
          <w:tcPr>
            <w:tcW w:w="1418" w:type="dxa"/>
            <w:shd w:val="clear" w:color="auto" w:fill="auto"/>
            <w:vAlign w:val="center"/>
          </w:tcPr>
          <w:p w14:paraId="1DEA74E1">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cs="Times New Roman"/>
                <w:sz w:val="24"/>
                <w:szCs w:val="24"/>
              </w:rPr>
              <w:t>发光-甲状旁腺检测</w:t>
            </w:r>
          </w:p>
        </w:tc>
        <w:tc>
          <w:tcPr>
            <w:tcW w:w="6401" w:type="dxa"/>
            <w:shd w:val="clear" w:color="auto" w:fill="auto"/>
            <w:vAlign w:val="top"/>
          </w:tcPr>
          <w:p w14:paraId="7315A574">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cs="Times New Roman"/>
                <w:sz w:val="24"/>
                <w:szCs w:val="24"/>
              </w:rPr>
              <w:t>包括项目：CT和PTH，两者联合使用可协助判断甲旁亢/减导致的高钙血或低钙血症的骨代谢失衡；同时也是老年骨质疏松及甲状腺髓样癌的特殊标志物，可辅助病情监测和疗效评估。</w:t>
            </w:r>
          </w:p>
        </w:tc>
      </w:tr>
      <w:tr w14:paraId="7A966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1129" w:type="dxa"/>
            <w:shd w:val="clear" w:color="auto" w:fill="auto"/>
            <w:vAlign w:val="center"/>
          </w:tcPr>
          <w:p w14:paraId="42A2F694">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center"/>
              <w:textAlignment w:val="auto"/>
              <w:rPr>
                <w:rFonts w:cs="Times New Roman"/>
                <w:sz w:val="24"/>
                <w:szCs w:val="24"/>
              </w:rPr>
            </w:pPr>
            <w:r>
              <w:rPr>
                <w:rFonts w:cs="Times New Roman"/>
                <w:color w:val="auto"/>
                <w:sz w:val="24"/>
                <w:szCs w:val="24"/>
              </w:rPr>
              <w:t>1</w:t>
            </w:r>
            <w:r>
              <w:rPr>
                <w:rFonts w:hint="default" w:cs="Times New Roman"/>
                <w:color w:val="auto"/>
                <w:sz w:val="24"/>
                <w:szCs w:val="24"/>
              </w:rPr>
              <w:t>1</w:t>
            </w:r>
          </w:p>
        </w:tc>
        <w:tc>
          <w:tcPr>
            <w:tcW w:w="1418" w:type="dxa"/>
            <w:shd w:val="clear" w:color="auto" w:fill="auto"/>
            <w:vAlign w:val="center"/>
          </w:tcPr>
          <w:p w14:paraId="684F0C38">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cs="Times New Roman"/>
                <w:sz w:val="24"/>
                <w:szCs w:val="24"/>
              </w:rPr>
              <w:t>发光-激素检测</w:t>
            </w:r>
          </w:p>
        </w:tc>
        <w:tc>
          <w:tcPr>
            <w:tcW w:w="6401" w:type="dxa"/>
            <w:shd w:val="clear" w:color="auto" w:fill="auto"/>
            <w:vAlign w:val="top"/>
          </w:tcPr>
          <w:p w14:paraId="0505A94F">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cs="Times New Roman"/>
                <w:sz w:val="24"/>
                <w:szCs w:val="24"/>
              </w:rPr>
              <w:t>包括项目：F</w:t>
            </w:r>
            <w:r>
              <w:rPr>
                <w:rFonts w:cs="Times New Roman"/>
                <w:sz w:val="24"/>
                <w:szCs w:val="24"/>
              </w:rPr>
              <w:t>SH</w:t>
            </w:r>
            <w:r>
              <w:rPr>
                <w:rFonts w:hint="default" w:cs="Times New Roman"/>
                <w:sz w:val="24"/>
                <w:szCs w:val="24"/>
              </w:rPr>
              <w:t>、LH、PRL、E2、Testo、Prog、GH、IGF-1、总βHCG、AMH、ACTH。临床上可检测相关项目用于辅助诊断女性性早熟、男性性早熟、卵巢发育不全、不孕不育、高泌乳素血症、功血、矮小症、多囊性卵巢综合征、垂体性疾病等，并用于疗效监测。</w:t>
            </w:r>
          </w:p>
        </w:tc>
      </w:tr>
      <w:tr w14:paraId="0CEDA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1129" w:type="dxa"/>
            <w:shd w:val="clear" w:color="auto" w:fill="auto"/>
            <w:vAlign w:val="center"/>
          </w:tcPr>
          <w:p w14:paraId="4A729BC5">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center"/>
              <w:textAlignment w:val="auto"/>
              <w:rPr>
                <w:rFonts w:cs="Times New Roman"/>
                <w:sz w:val="24"/>
                <w:szCs w:val="24"/>
              </w:rPr>
            </w:pPr>
            <w:r>
              <w:rPr>
                <w:rFonts w:cs="Times New Roman"/>
                <w:color w:val="auto"/>
                <w:sz w:val="24"/>
                <w:szCs w:val="24"/>
              </w:rPr>
              <w:t>1</w:t>
            </w:r>
            <w:r>
              <w:rPr>
                <w:rFonts w:hint="default" w:cs="Times New Roman"/>
                <w:color w:val="auto"/>
                <w:sz w:val="24"/>
                <w:szCs w:val="24"/>
              </w:rPr>
              <w:t>2</w:t>
            </w:r>
          </w:p>
        </w:tc>
        <w:tc>
          <w:tcPr>
            <w:tcW w:w="1418" w:type="dxa"/>
            <w:shd w:val="clear" w:color="auto" w:fill="auto"/>
            <w:vAlign w:val="center"/>
          </w:tcPr>
          <w:p w14:paraId="4ABA26D9">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cs="Times New Roman"/>
                <w:sz w:val="24"/>
                <w:szCs w:val="24"/>
              </w:rPr>
              <w:t>发光-心脏标志物检测</w:t>
            </w:r>
          </w:p>
        </w:tc>
        <w:tc>
          <w:tcPr>
            <w:tcW w:w="6401" w:type="dxa"/>
            <w:shd w:val="clear" w:color="auto" w:fill="auto"/>
            <w:vAlign w:val="top"/>
          </w:tcPr>
          <w:p w14:paraId="57F172BD">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cs="Times New Roman"/>
                <w:sz w:val="24"/>
                <w:szCs w:val="24"/>
              </w:rPr>
              <w:t>包括项目：hs-cTnI/cTn、CK-MB、MYO、BNP/NT-pro-BNP，这些指标主要用于心肌损伤如心肌梗死、心肌炎、心包炎等疾病的诊断、临床治疗监测等。</w:t>
            </w:r>
          </w:p>
        </w:tc>
      </w:tr>
      <w:tr w14:paraId="7CBD7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1129" w:type="dxa"/>
            <w:shd w:val="clear" w:color="auto" w:fill="auto"/>
            <w:vAlign w:val="center"/>
          </w:tcPr>
          <w:p w14:paraId="181B55F8">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center"/>
              <w:textAlignment w:val="auto"/>
              <w:rPr>
                <w:rFonts w:cs="Times New Roman"/>
                <w:sz w:val="24"/>
                <w:szCs w:val="24"/>
              </w:rPr>
            </w:pPr>
            <w:r>
              <w:rPr>
                <w:rFonts w:cs="Times New Roman"/>
                <w:color w:val="auto"/>
                <w:sz w:val="24"/>
                <w:szCs w:val="24"/>
              </w:rPr>
              <w:t>1</w:t>
            </w:r>
            <w:r>
              <w:rPr>
                <w:rFonts w:hint="default" w:cs="Times New Roman"/>
                <w:color w:val="auto"/>
                <w:sz w:val="24"/>
                <w:szCs w:val="24"/>
              </w:rPr>
              <w:t>3</w:t>
            </w:r>
          </w:p>
        </w:tc>
        <w:tc>
          <w:tcPr>
            <w:tcW w:w="1418" w:type="dxa"/>
            <w:shd w:val="clear" w:color="auto" w:fill="auto"/>
            <w:vAlign w:val="center"/>
          </w:tcPr>
          <w:p w14:paraId="5404B9D3">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cs="Times New Roman"/>
                <w:sz w:val="24"/>
                <w:szCs w:val="24"/>
              </w:rPr>
              <w:t>发光-感染标志物检测</w:t>
            </w:r>
          </w:p>
        </w:tc>
        <w:tc>
          <w:tcPr>
            <w:tcW w:w="6401" w:type="dxa"/>
            <w:shd w:val="clear" w:color="auto" w:fill="auto"/>
            <w:vAlign w:val="top"/>
          </w:tcPr>
          <w:p w14:paraId="5C03716B">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cs="Times New Roman"/>
                <w:sz w:val="24"/>
                <w:szCs w:val="24"/>
              </w:rPr>
              <w:t>包括项目：PCT、IL-6。感染标志物检测对感染诊断、脓毒症预警、治疗方案指导、疗效及预后评估具有重要临床价值。</w:t>
            </w:r>
          </w:p>
        </w:tc>
      </w:tr>
      <w:tr w14:paraId="31D359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9" w:hRule="atLeast"/>
          <w:jc w:val="center"/>
        </w:trPr>
        <w:tc>
          <w:tcPr>
            <w:tcW w:w="1129" w:type="dxa"/>
            <w:shd w:val="clear" w:color="auto" w:fill="auto"/>
            <w:vAlign w:val="center"/>
          </w:tcPr>
          <w:p w14:paraId="1310C73B">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center"/>
              <w:textAlignment w:val="auto"/>
              <w:rPr>
                <w:rFonts w:cs="Times New Roman"/>
                <w:sz w:val="24"/>
                <w:szCs w:val="24"/>
              </w:rPr>
            </w:pPr>
            <w:r>
              <w:rPr>
                <w:rFonts w:cs="Times New Roman"/>
                <w:color w:val="auto"/>
                <w:sz w:val="24"/>
                <w:szCs w:val="24"/>
              </w:rPr>
              <w:t>1</w:t>
            </w:r>
            <w:r>
              <w:rPr>
                <w:rFonts w:hint="default" w:cs="Times New Roman"/>
                <w:color w:val="auto"/>
                <w:sz w:val="24"/>
                <w:szCs w:val="24"/>
              </w:rPr>
              <w:t>4</w:t>
            </w:r>
          </w:p>
        </w:tc>
        <w:tc>
          <w:tcPr>
            <w:tcW w:w="1418" w:type="dxa"/>
            <w:shd w:val="clear" w:color="auto" w:fill="auto"/>
            <w:vAlign w:val="center"/>
          </w:tcPr>
          <w:p w14:paraId="4D7E203B">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cs="Times New Roman"/>
                <w:sz w:val="24"/>
                <w:szCs w:val="24"/>
              </w:rPr>
              <w:t>凝血-凝血七项检测</w:t>
            </w:r>
          </w:p>
        </w:tc>
        <w:tc>
          <w:tcPr>
            <w:tcW w:w="6401" w:type="dxa"/>
            <w:shd w:val="clear" w:color="auto" w:fill="auto"/>
            <w:vAlign w:val="top"/>
          </w:tcPr>
          <w:p w14:paraId="47A26D41">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cs="Times New Roman"/>
                <w:sz w:val="24"/>
                <w:szCs w:val="24"/>
              </w:rPr>
              <w:t>包括项目：</w:t>
            </w:r>
            <w:r>
              <w:rPr>
                <w:rFonts w:hint="default" w:cs="Times New Roman"/>
                <w:iCs w:val="0"/>
                <w:sz w:val="24"/>
                <w:szCs w:val="24"/>
              </w:rPr>
              <w:t>PT</w:t>
            </w:r>
            <w:r>
              <w:rPr>
                <w:rFonts w:hint="default" w:cs="Times New Roman"/>
                <w:sz w:val="24"/>
                <w:szCs w:val="24"/>
              </w:rPr>
              <w:t>、</w:t>
            </w:r>
            <w:r>
              <w:rPr>
                <w:rFonts w:hint="default" w:cs="Times New Roman"/>
                <w:iCs w:val="0"/>
                <w:sz w:val="24"/>
                <w:szCs w:val="24"/>
              </w:rPr>
              <w:t>APTT</w:t>
            </w:r>
            <w:r>
              <w:rPr>
                <w:rFonts w:hint="default" w:cs="Times New Roman"/>
                <w:sz w:val="24"/>
                <w:szCs w:val="24"/>
              </w:rPr>
              <w:t>、</w:t>
            </w:r>
            <w:r>
              <w:rPr>
                <w:rFonts w:hint="default" w:cs="Times New Roman"/>
                <w:iCs w:val="0"/>
                <w:sz w:val="24"/>
                <w:szCs w:val="24"/>
              </w:rPr>
              <w:t>FIB</w:t>
            </w:r>
            <w:r>
              <w:rPr>
                <w:rFonts w:hint="default" w:cs="Times New Roman"/>
                <w:sz w:val="24"/>
                <w:szCs w:val="24"/>
              </w:rPr>
              <w:t>、</w:t>
            </w:r>
            <w:r>
              <w:rPr>
                <w:rFonts w:hint="default" w:cs="Times New Roman"/>
                <w:iCs w:val="0"/>
                <w:sz w:val="24"/>
                <w:szCs w:val="24"/>
              </w:rPr>
              <w:t>TT</w:t>
            </w:r>
            <w:r>
              <w:rPr>
                <w:rFonts w:hint="default" w:cs="Times New Roman"/>
                <w:sz w:val="24"/>
                <w:szCs w:val="24"/>
              </w:rPr>
              <w:t>、</w:t>
            </w:r>
            <w:r>
              <w:rPr>
                <w:rFonts w:hint="default" w:cs="Times New Roman"/>
                <w:iCs w:val="0"/>
                <w:sz w:val="24"/>
                <w:szCs w:val="24"/>
              </w:rPr>
              <w:t>D-二聚体</w:t>
            </w:r>
            <w:r>
              <w:rPr>
                <w:rFonts w:hint="default" w:cs="Times New Roman"/>
                <w:sz w:val="24"/>
                <w:szCs w:val="24"/>
              </w:rPr>
              <w:t>、</w:t>
            </w:r>
            <w:r>
              <w:rPr>
                <w:rFonts w:hint="default" w:cs="Times New Roman"/>
                <w:iCs w:val="0"/>
                <w:sz w:val="24"/>
                <w:szCs w:val="24"/>
              </w:rPr>
              <w:t>FDP</w:t>
            </w:r>
            <w:r>
              <w:rPr>
                <w:rFonts w:hint="default" w:cs="Times New Roman"/>
                <w:sz w:val="24"/>
                <w:szCs w:val="24"/>
              </w:rPr>
              <w:t>、</w:t>
            </w:r>
            <w:r>
              <w:rPr>
                <w:rFonts w:hint="default" w:cs="Times New Roman"/>
                <w:iCs w:val="0"/>
                <w:sz w:val="24"/>
                <w:szCs w:val="24"/>
              </w:rPr>
              <w:t>ATⅢ。可用于凝血障碍性疾病的初步诊断、抗凝药物的监测以及术前常规凝血功能的评估等。</w:t>
            </w:r>
          </w:p>
        </w:tc>
      </w:tr>
      <w:tr w14:paraId="213654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129" w:type="dxa"/>
            <w:shd w:val="clear" w:color="auto" w:fill="auto"/>
            <w:vAlign w:val="center"/>
          </w:tcPr>
          <w:p w14:paraId="1D888EEC">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center"/>
              <w:textAlignment w:val="auto"/>
              <w:rPr>
                <w:rFonts w:cs="Times New Roman"/>
                <w:sz w:val="24"/>
                <w:szCs w:val="24"/>
              </w:rPr>
            </w:pPr>
            <w:r>
              <w:rPr>
                <w:rFonts w:hint="default" w:cs="Times New Roman"/>
                <w:color w:val="auto"/>
                <w:sz w:val="24"/>
                <w:szCs w:val="24"/>
              </w:rPr>
              <w:t>15</w:t>
            </w:r>
          </w:p>
        </w:tc>
        <w:tc>
          <w:tcPr>
            <w:tcW w:w="1418" w:type="dxa"/>
            <w:shd w:val="clear" w:color="auto" w:fill="auto"/>
            <w:vAlign w:val="center"/>
          </w:tcPr>
          <w:p w14:paraId="3E9804C6">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cs="Times New Roman"/>
                <w:sz w:val="24"/>
                <w:szCs w:val="24"/>
              </w:rPr>
              <w:t>生化</w:t>
            </w:r>
            <w:r>
              <w:rPr>
                <w:rFonts w:cs="Times New Roman"/>
                <w:sz w:val="24"/>
                <w:szCs w:val="24"/>
              </w:rPr>
              <w:t>-</w:t>
            </w:r>
            <w:r>
              <w:rPr>
                <w:rFonts w:hint="default" w:cs="Times New Roman"/>
                <w:sz w:val="24"/>
                <w:szCs w:val="24"/>
              </w:rPr>
              <w:t>血脂检测</w:t>
            </w:r>
          </w:p>
        </w:tc>
        <w:tc>
          <w:tcPr>
            <w:tcW w:w="6401" w:type="dxa"/>
            <w:shd w:val="clear" w:color="auto" w:fill="auto"/>
            <w:vAlign w:val="top"/>
          </w:tcPr>
          <w:p w14:paraId="6965011A">
            <w:pPr>
              <w:keepNext w:val="0"/>
              <w:keepLines w:val="0"/>
              <w:pageBreakBefore w:val="0"/>
              <w:widowControl/>
              <w:tabs>
                <w:tab w:val="left" w:pos="1283"/>
              </w:tabs>
              <w:kinsoku/>
              <w:wordWrap/>
              <w:overflowPunct/>
              <w:topLinePunct w:val="0"/>
              <w:autoSpaceDE/>
              <w:autoSpaceDN/>
              <w:bidi w:val="0"/>
              <w:adjustRightInd/>
              <w:snapToGrid/>
              <w:spacing w:line="240" w:lineRule="auto"/>
              <w:ind w:firstLine="0" w:firstLineChars="0"/>
              <w:jc w:val="left"/>
              <w:textAlignment w:val="auto"/>
              <w:rPr>
                <w:rFonts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cs="Times New Roman"/>
                <w:sz w:val="24"/>
                <w:szCs w:val="24"/>
              </w:rPr>
              <w:t>包括项目：TC、TG、HDL-C、LDL-C、ApoA1、ApoB、Lp(a)Ⅱ、sd LDL-C、HCY，通过检测血浆中的血脂指标，有助于动脉硬化、高血脂、冠心病及肾病综合征等疾病的风险评估和诊断。</w:t>
            </w:r>
          </w:p>
        </w:tc>
      </w:tr>
      <w:tr w14:paraId="4E68BF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129" w:type="dxa"/>
            <w:shd w:val="clear" w:color="auto" w:fill="auto"/>
            <w:vAlign w:val="center"/>
          </w:tcPr>
          <w:p w14:paraId="75E6B2FF">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center"/>
              <w:textAlignment w:val="auto"/>
              <w:rPr>
                <w:rFonts w:cs="Times New Roman"/>
                <w:sz w:val="24"/>
                <w:szCs w:val="24"/>
              </w:rPr>
            </w:pPr>
            <w:r>
              <w:rPr>
                <w:rFonts w:hint="default" w:cs="Times New Roman"/>
                <w:color w:val="auto"/>
                <w:sz w:val="24"/>
                <w:szCs w:val="24"/>
              </w:rPr>
              <w:t>16</w:t>
            </w:r>
          </w:p>
        </w:tc>
        <w:tc>
          <w:tcPr>
            <w:tcW w:w="1418" w:type="dxa"/>
            <w:shd w:val="clear" w:color="auto" w:fill="auto"/>
            <w:vAlign w:val="center"/>
          </w:tcPr>
          <w:p w14:paraId="2DEF6FCE">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cs="Times New Roman"/>
                <w:sz w:val="24"/>
                <w:szCs w:val="24"/>
              </w:rPr>
              <w:t>生化-肾功能检测</w:t>
            </w:r>
          </w:p>
        </w:tc>
        <w:tc>
          <w:tcPr>
            <w:tcW w:w="6401" w:type="dxa"/>
            <w:shd w:val="clear" w:color="auto" w:fill="auto"/>
            <w:vAlign w:val="top"/>
          </w:tcPr>
          <w:p w14:paraId="7F6091FC">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cs="Times New Roman"/>
                <w:sz w:val="24"/>
                <w:szCs w:val="24"/>
              </w:rPr>
              <w:t>包括项目：UA、UREA、CO2、CysCII、β2-mG II、MALB、RBP等指标，临床上主要用于急慢性肾损伤疾病的诊断、治疗监测、预后判断。</w:t>
            </w:r>
          </w:p>
        </w:tc>
      </w:tr>
      <w:tr w14:paraId="78CF1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129" w:type="dxa"/>
            <w:shd w:val="clear" w:color="auto" w:fill="auto"/>
            <w:vAlign w:val="center"/>
          </w:tcPr>
          <w:p w14:paraId="6BFC47A1">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center"/>
              <w:textAlignment w:val="auto"/>
              <w:rPr>
                <w:rFonts w:cs="Times New Roman"/>
                <w:sz w:val="24"/>
                <w:szCs w:val="24"/>
              </w:rPr>
            </w:pPr>
            <w:r>
              <w:rPr>
                <w:rFonts w:hint="default" w:cs="Times New Roman"/>
                <w:color w:val="auto"/>
                <w:sz w:val="24"/>
                <w:szCs w:val="24"/>
              </w:rPr>
              <w:t>17</w:t>
            </w:r>
          </w:p>
        </w:tc>
        <w:tc>
          <w:tcPr>
            <w:tcW w:w="1418" w:type="dxa"/>
            <w:shd w:val="clear" w:color="auto" w:fill="auto"/>
            <w:vAlign w:val="center"/>
          </w:tcPr>
          <w:p w14:paraId="242A2620">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cs="Times New Roman"/>
                <w:sz w:val="24"/>
                <w:szCs w:val="24"/>
              </w:rPr>
              <w:t>PDR技术</w:t>
            </w:r>
          </w:p>
        </w:tc>
        <w:tc>
          <w:tcPr>
            <w:tcW w:w="6401" w:type="dxa"/>
            <w:shd w:val="clear" w:color="auto" w:fill="auto"/>
            <w:vAlign w:val="top"/>
          </w:tcPr>
          <w:p w14:paraId="4D69CA0F">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cs="Times New Roman"/>
                <w:sz w:val="24"/>
                <w:szCs w:val="24"/>
              </w:rPr>
              <w:t>通过反应杯全区域、全波长、全时段、实时动态光测采集，一个周期形成上万个光测数据，整个反应周期内可以生成42万个光测数据，通过对大数据整合分析，可以敏锐探测到反应过程中的各类细微干扰和异常，及时识别报警和自动重测。</w:t>
            </w:r>
          </w:p>
        </w:tc>
      </w:tr>
      <w:tr w14:paraId="585E4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129" w:type="dxa"/>
            <w:shd w:val="clear" w:color="auto" w:fill="auto"/>
            <w:vAlign w:val="center"/>
          </w:tcPr>
          <w:p w14:paraId="29D58697">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center"/>
              <w:textAlignment w:val="auto"/>
              <w:rPr>
                <w:rFonts w:cs="Times New Roman"/>
                <w:sz w:val="24"/>
                <w:szCs w:val="24"/>
              </w:rPr>
            </w:pPr>
            <w:r>
              <w:rPr>
                <w:rFonts w:hint="default" w:cs="Times New Roman"/>
                <w:color w:val="auto"/>
                <w:sz w:val="24"/>
                <w:szCs w:val="24"/>
              </w:rPr>
              <w:t>18</w:t>
            </w:r>
          </w:p>
        </w:tc>
        <w:tc>
          <w:tcPr>
            <w:tcW w:w="1418" w:type="dxa"/>
            <w:shd w:val="clear" w:color="auto" w:fill="auto"/>
            <w:vAlign w:val="center"/>
          </w:tcPr>
          <w:p w14:paraId="4F0F9120">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cs="Times New Roman"/>
                <w:sz w:val="24"/>
                <w:szCs w:val="24"/>
              </w:rPr>
              <w:t>血液检测－血小板解聚功能</w:t>
            </w:r>
          </w:p>
        </w:tc>
        <w:tc>
          <w:tcPr>
            <w:tcW w:w="6401" w:type="dxa"/>
            <w:shd w:val="clear" w:color="auto" w:fill="auto"/>
            <w:vAlign w:val="top"/>
          </w:tcPr>
          <w:p w14:paraId="510E36BE">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cs="Times New Roman"/>
                <w:sz w:val="24"/>
                <w:szCs w:val="24"/>
              </w:rPr>
              <w:t>自研解聚剂应用到血气分析仪RET通道，当触发血小板结果报警时可自动调用 PLT-O复检，解聚剂自动加入血液当中对聚集血小板进行解聚；同时RET通道还联用了 “加温”“高速震荡”等物理解聚技术，提升血小板计数的准确性。</w:t>
            </w:r>
          </w:p>
        </w:tc>
      </w:tr>
      <w:tr w14:paraId="2BA92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129" w:type="dxa"/>
            <w:shd w:val="clear" w:color="auto" w:fill="auto"/>
            <w:vAlign w:val="center"/>
          </w:tcPr>
          <w:p w14:paraId="35E517B6">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center"/>
              <w:textAlignment w:val="auto"/>
              <w:rPr>
                <w:rFonts w:cs="Times New Roman"/>
                <w:sz w:val="24"/>
                <w:szCs w:val="24"/>
              </w:rPr>
            </w:pPr>
            <w:r>
              <w:rPr>
                <w:rFonts w:hint="default" w:cs="Times New Roman"/>
                <w:color w:val="auto"/>
                <w:sz w:val="24"/>
                <w:szCs w:val="24"/>
              </w:rPr>
              <w:t>19</w:t>
            </w:r>
          </w:p>
        </w:tc>
        <w:tc>
          <w:tcPr>
            <w:tcW w:w="1418" w:type="dxa"/>
            <w:shd w:val="clear" w:color="auto" w:fill="auto"/>
            <w:vAlign w:val="center"/>
          </w:tcPr>
          <w:p w14:paraId="218B478C">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cs="Times New Roman"/>
                <w:sz w:val="24"/>
                <w:szCs w:val="24"/>
              </w:rPr>
              <w:t>血液检测—原始细胞检测</w:t>
            </w:r>
          </w:p>
        </w:tc>
        <w:tc>
          <w:tcPr>
            <w:tcW w:w="6401" w:type="dxa"/>
            <w:shd w:val="clear" w:color="auto" w:fill="auto"/>
            <w:vAlign w:val="top"/>
          </w:tcPr>
          <w:p w14:paraId="578CA47F">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cs="Times New Roman"/>
                <w:sz w:val="24"/>
                <w:szCs w:val="24"/>
              </w:rPr>
              <w:t>血液细胞分析仪SF Cube技术平台是三维荧光细胞分析平台，即利用侧向散射光、前向散射光及荧光分别实现对细胞内部复杂程度、细胞体积大小以及细胞核酸含量的检测，实现血细胞全方位的立体分析，针对原始细胞的特点，通过DIFF+WNB双通道协同的“核质双检”技术，差异化处理“细胞核”和 “细胞质”，实现原始细胞高灵敏度及高特异性检出。</w:t>
            </w:r>
          </w:p>
        </w:tc>
      </w:tr>
      <w:tr w14:paraId="1344E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129" w:type="dxa"/>
            <w:shd w:val="clear" w:color="auto" w:fill="auto"/>
            <w:vAlign w:val="center"/>
          </w:tcPr>
          <w:p w14:paraId="7DE7D428">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center"/>
              <w:textAlignment w:val="auto"/>
              <w:rPr>
                <w:rFonts w:cs="Times New Roman"/>
                <w:sz w:val="24"/>
                <w:szCs w:val="24"/>
              </w:rPr>
            </w:pPr>
            <w:r>
              <w:rPr>
                <w:rFonts w:cs="Times New Roman"/>
                <w:color w:val="auto"/>
                <w:sz w:val="24"/>
                <w:szCs w:val="24"/>
              </w:rPr>
              <w:t>2</w:t>
            </w:r>
            <w:r>
              <w:rPr>
                <w:rFonts w:hint="default" w:cs="Times New Roman"/>
                <w:color w:val="auto"/>
                <w:sz w:val="24"/>
                <w:szCs w:val="24"/>
              </w:rPr>
              <w:t>0</w:t>
            </w:r>
          </w:p>
        </w:tc>
        <w:tc>
          <w:tcPr>
            <w:tcW w:w="1418" w:type="dxa"/>
            <w:shd w:val="clear" w:color="auto" w:fill="auto"/>
            <w:vAlign w:val="center"/>
          </w:tcPr>
          <w:p w14:paraId="4F6DFDF4">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hint="default"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eastAsia="宋体" w:cs="Times New Roman"/>
                <w:sz w:val="24"/>
                <w:szCs w:val="24"/>
              </w:rPr>
              <w:t>HD Scope+睿瞳成像</w:t>
            </w:r>
          </w:p>
        </w:tc>
        <w:tc>
          <w:tcPr>
            <w:tcW w:w="6401" w:type="dxa"/>
            <w:shd w:val="clear" w:color="auto" w:fill="auto"/>
            <w:vAlign w:val="center"/>
          </w:tcPr>
          <w:p w14:paraId="0B385324">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hint="default"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eastAsia="宋体" w:cs="Times New Roman"/>
                <w:sz w:val="24"/>
                <w:szCs w:val="24"/>
              </w:rPr>
              <w:t>HD Scope+搭载在全新的AIT无极声学智慧平台，聚焦目标病灶区域的精细结构显示，以更卓越的洞察能力，还原人体原始解剖信息，助力临床疑难杂症的诊断与鉴别诊断。</w:t>
            </w:r>
          </w:p>
        </w:tc>
      </w:tr>
      <w:tr w14:paraId="60A64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129" w:type="dxa"/>
            <w:shd w:val="clear" w:color="auto" w:fill="auto"/>
            <w:vAlign w:val="center"/>
          </w:tcPr>
          <w:p w14:paraId="5870FECA">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center"/>
              <w:textAlignment w:val="auto"/>
              <w:rPr>
                <w:rFonts w:cs="Times New Roman"/>
                <w:sz w:val="24"/>
                <w:szCs w:val="24"/>
              </w:rPr>
            </w:pPr>
            <w:r>
              <w:rPr>
                <w:rFonts w:cs="Times New Roman"/>
                <w:color w:val="auto"/>
                <w:sz w:val="24"/>
                <w:szCs w:val="24"/>
              </w:rPr>
              <w:t>2</w:t>
            </w:r>
            <w:r>
              <w:rPr>
                <w:rFonts w:hint="default" w:cs="Times New Roman"/>
                <w:color w:val="auto"/>
                <w:sz w:val="24"/>
                <w:szCs w:val="24"/>
              </w:rPr>
              <w:t>1</w:t>
            </w:r>
          </w:p>
        </w:tc>
        <w:tc>
          <w:tcPr>
            <w:tcW w:w="1418" w:type="dxa"/>
            <w:shd w:val="clear" w:color="auto" w:fill="auto"/>
            <w:vAlign w:val="center"/>
          </w:tcPr>
          <w:p w14:paraId="1D4D3339">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hint="default"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eastAsia="宋体" w:cs="Times New Roman"/>
                <w:sz w:val="24"/>
                <w:szCs w:val="24"/>
              </w:rPr>
              <w:t>UMA超微纯净血流</w:t>
            </w:r>
          </w:p>
        </w:tc>
        <w:tc>
          <w:tcPr>
            <w:tcW w:w="6401" w:type="dxa"/>
            <w:shd w:val="clear" w:color="auto" w:fill="auto"/>
            <w:vAlign w:val="center"/>
          </w:tcPr>
          <w:p w14:paraId="3EBF008C">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hint="default"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eastAsia="宋体" w:cs="Times New Roman"/>
                <w:sz w:val="24"/>
                <w:szCs w:val="24"/>
              </w:rPr>
              <w:t>采用全新时域、空间域合成算法，捕捉微细低速血流，在提供高灵敏度和高空间分辨率的同时，更有出色的运动伪像控制，可用于评估多种脏器及异常占位的血供分布情况，提升肿瘤良恶性诊断效能。</w:t>
            </w:r>
          </w:p>
        </w:tc>
      </w:tr>
      <w:tr w14:paraId="3C185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129" w:type="dxa"/>
            <w:shd w:val="clear" w:color="auto" w:fill="auto"/>
            <w:vAlign w:val="center"/>
          </w:tcPr>
          <w:p w14:paraId="1BA814E8">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center"/>
              <w:textAlignment w:val="auto"/>
              <w:rPr>
                <w:rFonts w:cs="Times New Roman"/>
                <w:sz w:val="24"/>
                <w:szCs w:val="24"/>
              </w:rPr>
            </w:pPr>
            <w:r>
              <w:rPr>
                <w:rFonts w:cs="Times New Roman"/>
                <w:color w:val="auto"/>
                <w:sz w:val="24"/>
                <w:szCs w:val="24"/>
              </w:rPr>
              <w:t>2</w:t>
            </w:r>
            <w:r>
              <w:rPr>
                <w:rFonts w:hint="default" w:cs="Times New Roman"/>
                <w:color w:val="auto"/>
                <w:sz w:val="24"/>
                <w:szCs w:val="24"/>
              </w:rPr>
              <w:t>2</w:t>
            </w:r>
          </w:p>
        </w:tc>
        <w:tc>
          <w:tcPr>
            <w:tcW w:w="1418" w:type="dxa"/>
            <w:shd w:val="clear" w:color="auto" w:fill="auto"/>
            <w:vAlign w:val="center"/>
          </w:tcPr>
          <w:p w14:paraId="5920672C">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hint="default"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eastAsia="宋体" w:cs="Times New Roman"/>
                <w:sz w:val="24"/>
                <w:szCs w:val="24"/>
              </w:rPr>
              <w:t>STE剪切波弹性成像</w:t>
            </w:r>
          </w:p>
        </w:tc>
        <w:tc>
          <w:tcPr>
            <w:tcW w:w="6401" w:type="dxa"/>
            <w:shd w:val="clear" w:color="auto" w:fill="auto"/>
            <w:vAlign w:val="center"/>
          </w:tcPr>
          <w:p w14:paraId="4A11F09A">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hint="default"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eastAsia="宋体" w:cs="Times New Roman"/>
                <w:sz w:val="24"/>
                <w:szCs w:val="24"/>
              </w:rPr>
              <w:t>剪切波弹性成像是一种无创、定量的生物组织力学特性检测技术，通过测量剪切波在组织中的传播速度来评估其硬度/弹性模量，广泛应用于肝脏、乳腺、甲状腺等疾病的早期诊断和监测。</w:t>
            </w:r>
          </w:p>
        </w:tc>
      </w:tr>
      <w:tr w14:paraId="695AE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129" w:type="dxa"/>
            <w:shd w:val="clear" w:color="auto" w:fill="auto"/>
            <w:vAlign w:val="center"/>
          </w:tcPr>
          <w:p w14:paraId="4B5268CD">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center"/>
              <w:textAlignment w:val="auto"/>
              <w:rPr>
                <w:rFonts w:cs="Times New Roman"/>
                <w:sz w:val="24"/>
                <w:szCs w:val="24"/>
              </w:rPr>
            </w:pPr>
            <w:r>
              <w:rPr>
                <w:rFonts w:cs="Times New Roman"/>
                <w:color w:val="auto"/>
                <w:sz w:val="24"/>
                <w:szCs w:val="24"/>
              </w:rPr>
              <w:t>2</w:t>
            </w:r>
            <w:r>
              <w:rPr>
                <w:rFonts w:hint="default" w:cs="Times New Roman"/>
                <w:color w:val="auto"/>
                <w:sz w:val="24"/>
                <w:szCs w:val="24"/>
              </w:rPr>
              <w:t>3</w:t>
            </w:r>
          </w:p>
        </w:tc>
        <w:tc>
          <w:tcPr>
            <w:tcW w:w="1418" w:type="dxa"/>
            <w:shd w:val="clear" w:color="auto" w:fill="auto"/>
            <w:vAlign w:val="center"/>
          </w:tcPr>
          <w:p w14:paraId="750BFEE2">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hint="default"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eastAsia="宋体" w:cs="Times New Roman"/>
                <w:sz w:val="24"/>
                <w:szCs w:val="24"/>
              </w:rPr>
              <w:t>STVi粘弹性成像</w:t>
            </w:r>
          </w:p>
        </w:tc>
        <w:tc>
          <w:tcPr>
            <w:tcW w:w="6401" w:type="dxa"/>
            <w:shd w:val="clear" w:color="auto" w:fill="auto"/>
            <w:vAlign w:val="center"/>
          </w:tcPr>
          <w:p w14:paraId="17B2764A">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hint="eastAsia"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eastAsia="宋体" w:cs="Times New Roman"/>
                <w:sz w:val="24"/>
                <w:szCs w:val="24"/>
              </w:rPr>
              <w:t>粘弹性成像实现对组织粘性的量化评估，用于更全面地探索肝脏、乳腺以及其他脏器相关疾病的影像诊断及量化分析</w:t>
            </w:r>
            <w:r>
              <w:rPr>
                <w:rFonts w:hint="eastAsia" w:cs="Times New Roman"/>
                <w:sz w:val="24"/>
                <w:szCs w:val="24"/>
                <w:lang w:eastAsia="zh-CN"/>
              </w:rPr>
              <w:t>。</w:t>
            </w:r>
          </w:p>
        </w:tc>
      </w:tr>
      <w:tr w14:paraId="73EEF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129" w:type="dxa"/>
            <w:shd w:val="clear" w:color="auto" w:fill="auto"/>
            <w:vAlign w:val="center"/>
          </w:tcPr>
          <w:p w14:paraId="00A61B0A">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center"/>
              <w:textAlignment w:val="auto"/>
              <w:rPr>
                <w:rFonts w:cs="Times New Roman"/>
                <w:sz w:val="24"/>
                <w:szCs w:val="24"/>
              </w:rPr>
            </w:pPr>
            <w:r>
              <w:rPr>
                <w:rFonts w:cs="Times New Roman"/>
                <w:color w:val="auto"/>
                <w:sz w:val="24"/>
                <w:szCs w:val="24"/>
              </w:rPr>
              <w:t>2</w:t>
            </w:r>
            <w:r>
              <w:rPr>
                <w:rFonts w:hint="default" w:cs="Times New Roman"/>
                <w:color w:val="auto"/>
                <w:sz w:val="24"/>
                <w:szCs w:val="24"/>
              </w:rPr>
              <w:t>4</w:t>
            </w:r>
          </w:p>
        </w:tc>
        <w:tc>
          <w:tcPr>
            <w:tcW w:w="1418" w:type="dxa"/>
            <w:shd w:val="clear" w:color="auto" w:fill="auto"/>
            <w:vAlign w:val="center"/>
          </w:tcPr>
          <w:p w14:paraId="0340F7B1">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hint="default"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eastAsia="宋体" w:cs="Times New Roman"/>
                <w:sz w:val="24"/>
                <w:szCs w:val="24"/>
              </w:rPr>
              <w:t>M-Reference多参数联合分析</w:t>
            </w:r>
          </w:p>
        </w:tc>
        <w:tc>
          <w:tcPr>
            <w:tcW w:w="6401" w:type="dxa"/>
            <w:shd w:val="clear" w:color="auto" w:fill="auto"/>
            <w:vAlign w:val="center"/>
          </w:tcPr>
          <w:p w14:paraId="469D9BFC">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hint="default"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eastAsia="宋体" w:cs="Times New Roman"/>
                <w:sz w:val="24"/>
                <w:szCs w:val="24"/>
              </w:rPr>
              <w:t>M-Reference实现多种超声成像在同一切面的同步实时联合成像，提高诊断准确性与全面性。同时提供多种量化参数分析方法，助力构建联合诊断模型。</w:t>
            </w:r>
          </w:p>
        </w:tc>
      </w:tr>
      <w:tr w14:paraId="3B8AD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129" w:type="dxa"/>
            <w:shd w:val="clear" w:color="auto" w:fill="auto"/>
            <w:vAlign w:val="center"/>
          </w:tcPr>
          <w:p w14:paraId="032FF188">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center"/>
              <w:textAlignment w:val="auto"/>
              <w:rPr>
                <w:rFonts w:cs="Times New Roman"/>
                <w:sz w:val="24"/>
                <w:szCs w:val="24"/>
              </w:rPr>
            </w:pPr>
            <w:r>
              <w:rPr>
                <w:rFonts w:hint="default" w:cs="Times New Roman"/>
                <w:color w:val="auto"/>
                <w:sz w:val="24"/>
                <w:szCs w:val="24"/>
              </w:rPr>
              <w:t>25</w:t>
            </w:r>
          </w:p>
        </w:tc>
        <w:tc>
          <w:tcPr>
            <w:tcW w:w="1418" w:type="dxa"/>
            <w:shd w:val="clear" w:color="auto" w:fill="auto"/>
            <w:vAlign w:val="center"/>
          </w:tcPr>
          <w:p w14:paraId="6217C767">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hint="default"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eastAsia="宋体" w:cs="Times New Roman"/>
                <w:sz w:val="24"/>
                <w:szCs w:val="24"/>
              </w:rPr>
              <w:t>HiFR-CEUS高帧率造影</w:t>
            </w:r>
          </w:p>
        </w:tc>
        <w:tc>
          <w:tcPr>
            <w:tcW w:w="6401" w:type="dxa"/>
            <w:shd w:val="clear" w:color="auto" w:fill="auto"/>
            <w:vAlign w:val="center"/>
          </w:tcPr>
          <w:p w14:paraId="372BA6C5">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hint="default"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eastAsia="宋体" w:cs="Times New Roman"/>
                <w:sz w:val="24"/>
                <w:szCs w:val="24"/>
              </w:rPr>
              <w:t>高帧率造影通过超快速造影成像，帧率数倍于传统造影成像，用于捕捉病灶灌注早期的血管结构和灌注特征。</w:t>
            </w:r>
          </w:p>
        </w:tc>
      </w:tr>
      <w:tr w14:paraId="13CBE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129" w:type="dxa"/>
            <w:shd w:val="clear" w:color="auto" w:fill="auto"/>
            <w:vAlign w:val="center"/>
          </w:tcPr>
          <w:p w14:paraId="381CBADC">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center"/>
              <w:textAlignment w:val="auto"/>
              <w:rPr>
                <w:rFonts w:cs="Times New Roman"/>
                <w:sz w:val="24"/>
                <w:szCs w:val="24"/>
              </w:rPr>
            </w:pPr>
            <w:r>
              <w:rPr>
                <w:rFonts w:hint="default" w:cs="Times New Roman"/>
                <w:color w:val="auto"/>
                <w:sz w:val="24"/>
                <w:szCs w:val="24"/>
              </w:rPr>
              <w:t>26</w:t>
            </w:r>
          </w:p>
        </w:tc>
        <w:tc>
          <w:tcPr>
            <w:tcW w:w="1418" w:type="dxa"/>
            <w:shd w:val="clear" w:color="auto" w:fill="auto"/>
            <w:vAlign w:val="center"/>
          </w:tcPr>
          <w:p w14:paraId="6F7BF0DC">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hint="default"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eastAsia="宋体" w:cs="Times New Roman"/>
                <w:sz w:val="24"/>
                <w:szCs w:val="24"/>
              </w:rPr>
              <w:t>SR CEUS 显微造影</w:t>
            </w:r>
          </w:p>
        </w:tc>
        <w:tc>
          <w:tcPr>
            <w:tcW w:w="6401" w:type="dxa"/>
            <w:shd w:val="clear" w:color="auto" w:fill="auto"/>
            <w:vAlign w:val="center"/>
          </w:tcPr>
          <w:p w14:paraId="23CF67E8">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hint="default"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eastAsia="宋体" w:cs="Times New Roman"/>
                <w:sz w:val="24"/>
                <w:szCs w:val="24"/>
              </w:rPr>
              <w:t>显微造影通过检测、分离、定位并追踪微泡质心的运动轨迹，从而构建出真实血管形态架构，实现了微米级的血管显示，并突破传统超声成像的衍射极限，血流敏感度和分辨率大大提升，能够观察到更微细血管和血流动力学变化，并且提供了形态学和血流动力学的定量参数分析。</w:t>
            </w:r>
          </w:p>
        </w:tc>
      </w:tr>
      <w:tr w14:paraId="29578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129" w:type="dxa"/>
            <w:shd w:val="clear" w:color="auto" w:fill="auto"/>
            <w:vAlign w:val="center"/>
          </w:tcPr>
          <w:p w14:paraId="00CDFF04">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center"/>
              <w:textAlignment w:val="auto"/>
              <w:rPr>
                <w:rFonts w:cs="Times New Roman"/>
                <w:sz w:val="24"/>
                <w:szCs w:val="24"/>
              </w:rPr>
            </w:pPr>
            <w:r>
              <w:rPr>
                <w:rFonts w:hint="default" w:cs="Times New Roman"/>
                <w:color w:val="auto"/>
                <w:sz w:val="24"/>
                <w:szCs w:val="24"/>
              </w:rPr>
              <w:t>27</w:t>
            </w:r>
          </w:p>
        </w:tc>
        <w:tc>
          <w:tcPr>
            <w:tcW w:w="1418" w:type="dxa"/>
            <w:shd w:val="clear" w:color="auto" w:fill="auto"/>
            <w:vAlign w:val="center"/>
          </w:tcPr>
          <w:p w14:paraId="38AAF1AA">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hint="default"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eastAsia="宋体" w:cs="Times New Roman"/>
                <w:sz w:val="24"/>
                <w:szCs w:val="24"/>
              </w:rPr>
              <w:t>iFusion融合成像</w:t>
            </w:r>
          </w:p>
        </w:tc>
        <w:tc>
          <w:tcPr>
            <w:tcW w:w="6401" w:type="dxa"/>
            <w:shd w:val="clear" w:color="auto" w:fill="auto"/>
            <w:vAlign w:val="top"/>
          </w:tcPr>
          <w:p w14:paraId="16CBB280">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hint="default"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eastAsia="宋体" w:cs="Times New Roman"/>
                <w:sz w:val="24"/>
                <w:szCs w:val="24"/>
              </w:rPr>
              <w:t>融合成像系统能够实时地在CT/MR 的三维数据中提取出与当前超声扫查切面一致的二维 CT/MR 图像，并与超声实时图像精确匹配后进行对比及融合叠加显示。借助CT/MR 的高分辨率影像信息和超声的实时优势，融合成像实时导航可以帮助医生准确地定位病灶的位置。</w:t>
            </w:r>
          </w:p>
        </w:tc>
      </w:tr>
      <w:tr w14:paraId="1D5776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129" w:type="dxa"/>
            <w:shd w:val="clear" w:color="auto" w:fill="auto"/>
            <w:vAlign w:val="center"/>
          </w:tcPr>
          <w:p w14:paraId="781678BC">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center"/>
              <w:textAlignment w:val="auto"/>
              <w:rPr>
                <w:rFonts w:cs="Times New Roman"/>
                <w:sz w:val="24"/>
                <w:szCs w:val="24"/>
              </w:rPr>
            </w:pPr>
            <w:r>
              <w:rPr>
                <w:rFonts w:hint="default" w:cs="Times New Roman"/>
                <w:color w:val="auto"/>
                <w:sz w:val="24"/>
                <w:szCs w:val="24"/>
              </w:rPr>
              <w:t>28</w:t>
            </w:r>
          </w:p>
        </w:tc>
        <w:tc>
          <w:tcPr>
            <w:tcW w:w="1418" w:type="dxa"/>
            <w:shd w:val="clear" w:color="auto" w:fill="auto"/>
            <w:vAlign w:val="center"/>
          </w:tcPr>
          <w:p w14:paraId="0091A2DB">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hint="default" w:ascii="Times New Roman" w:hAnsi="Times New Roman" w:eastAsia="宋体" w:cs="Times New Roman"/>
                <w:iCs/>
                <w:color w:val="000000" w:themeColor="text1"/>
                <w:sz w:val="24"/>
                <w:szCs w:val="24"/>
                <w:lang w:val="zh-TW" w:eastAsia="zh-TW" w:bidi="ar-SA"/>
                <w14:textFill>
                  <w14:solidFill>
                    <w14:schemeClr w14:val="tx1"/>
                  </w14:solidFill>
                </w14:textFill>
              </w:rPr>
            </w:pPr>
            <w:r>
              <w:rPr>
                <w:rFonts w:hint="default" w:eastAsia="宋体" w:cs="Times New Roman"/>
                <w:sz w:val="24"/>
                <w:szCs w:val="24"/>
              </w:rPr>
              <w:t>Auto DFR心脏舒张功能自动测量</w:t>
            </w:r>
          </w:p>
        </w:tc>
        <w:tc>
          <w:tcPr>
            <w:tcW w:w="6401" w:type="dxa"/>
            <w:shd w:val="clear" w:color="auto" w:fill="auto"/>
            <w:vAlign w:val="top"/>
          </w:tcPr>
          <w:p w14:paraId="566C44B4">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hint="default"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eastAsia="宋体" w:cs="Times New Roman"/>
                <w:sz w:val="24"/>
                <w:szCs w:val="24"/>
                <w:lang w:val="zh-TW" w:eastAsia="zh-TW"/>
              </w:rPr>
              <w:t>心脏舒张功能自动测量（</w:t>
            </w:r>
            <w:r>
              <w:rPr>
                <w:rFonts w:hint="default" w:eastAsia="宋体" w:cs="Times New Roman"/>
                <w:sz w:val="24"/>
                <w:szCs w:val="24"/>
              </w:rPr>
              <w:t>Auto DFR</w:t>
            </w:r>
            <w:r>
              <w:rPr>
                <w:rFonts w:hint="default" w:eastAsia="宋体" w:cs="Times New Roman"/>
                <w:sz w:val="24"/>
                <w:szCs w:val="24"/>
                <w:lang w:val="zh-TW" w:eastAsia="zh-TW"/>
              </w:rPr>
              <w:t>）结合图像处理、模式识别的方法，实现超声图像（心尖四腔切面）上取样容积二尖瓣口、二尖瓣环的自动定位与频谱自动计算，进而自动测得</w:t>
            </w:r>
            <w:r>
              <w:rPr>
                <w:rFonts w:hint="default" w:eastAsia="宋体" w:cs="Times New Roman"/>
                <w:sz w:val="24"/>
                <w:szCs w:val="24"/>
              </w:rPr>
              <w:t>E</w:t>
            </w:r>
            <w:r>
              <w:rPr>
                <w:rFonts w:hint="default" w:eastAsia="宋体" w:cs="Times New Roman"/>
                <w:sz w:val="24"/>
                <w:szCs w:val="24"/>
                <w:lang w:val="zh-TW" w:eastAsia="zh-TW"/>
              </w:rPr>
              <w:t>峰、</w:t>
            </w:r>
            <w:r>
              <w:rPr>
                <w:rFonts w:hint="default" w:eastAsia="宋体" w:cs="Times New Roman"/>
                <w:sz w:val="24"/>
                <w:szCs w:val="24"/>
              </w:rPr>
              <w:t>A</w:t>
            </w:r>
            <w:r>
              <w:rPr>
                <w:rFonts w:hint="default" w:eastAsia="宋体" w:cs="Times New Roman"/>
                <w:sz w:val="24"/>
                <w:szCs w:val="24"/>
                <w:lang w:val="zh-TW" w:eastAsia="zh-TW"/>
              </w:rPr>
              <w:t>峰、</w:t>
            </w:r>
            <w:r>
              <w:rPr>
                <w:rFonts w:hint="default" w:eastAsia="宋体" w:cs="Times New Roman"/>
                <w:sz w:val="24"/>
                <w:szCs w:val="24"/>
              </w:rPr>
              <w:t xml:space="preserve"> e’</w:t>
            </w:r>
            <w:r>
              <w:rPr>
                <w:rFonts w:hint="default" w:eastAsia="宋体" w:cs="Times New Roman"/>
                <w:sz w:val="24"/>
                <w:szCs w:val="24"/>
                <w:lang w:val="zh-TW" w:eastAsia="zh-TW"/>
              </w:rPr>
              <w:t>峰，</w:t>
            </w:r>
            <w:r>
              <w:rPr>
                <w:rFonts w:hint="default" w:eastAsia="宋体" w:cs="Times New Roman"/>
                <w:sz w:val="24"/>
                <w:szCs w:val="24"/>
              </w:rPr>
              <w:t xml:space="preserve"> </w:t>
            </w:r>
            <w:r>
              <w:rPr>
                <w:rFonts w:hint="default" w:eastAsia="宋体" w:cs="Times New Roman"/>
                <w:sz w:val="24"/>
                <w:szCs w:val="24"/>
                <w:lang w:val="zh-TW" w:eastAsia="zh-TW"/>
              </w:rPr>
              <w:t>并获取</w:t>
            </w:r>
            <w:r>
              <w:rPr>
                <w:rFonts w:hint="default" w:eastAsia="宋体" w:cs="Times New Roman"/>
                <w:sz w:val="24"/>
                <w:szCs w:val="24"/>
              </w:rPr>
              <w:t xml:space="preserve">E/A </w:t>
            </w:r>
            <w:r>
              <w:rPr>
                <w:rFonts w:hint="default" w:eastAsia="宋体" w:cs="Times New Roman"/>
                <w:sz w:val="24"/>
                <w:szCs w:val="24"/>
                <w:lang w:val="zh-TW" w:eastAsia="zh-TW"/>
              </w:rPr>
              <w:t>、</w:t>
            </w:r>
            <w:r>
              <w:rPr>
                <w:rFonts w:hint="default" w:eastAsia="宋体" w:cs="Times New Roman"/>
                <w:sz w:val="24"/>
                <w:szCs w:val="24"/>
              </w:rPr>
              <w:t>E/e’</w:t>
            </w:r>
            <w:r>
              <w:rPr>
                <w:rFonts w:hint="default" w:eastAsia="宋体" w:cs="Times New Roman"/>
                <w:sz w:val="24"/>
                <w:szCs w:val="24"/>
                <w:lang w:val="zh-TW" w:eastAsia="zh-TW"/>
              </w:rPr>
              <w:t>。该功能支持实时与离线操作，大幅减少了用户的操作步骤。通过对心尖四腔心切面图像中二尖瓣的特征提取，基于模式识别方法，实现二尖瓣口、</w:t>
            </w:r>
            <w:r>
              <w:rPr>
                <w:rFonts w:hint="default" w:eastAsia="宋体" w:cs="Times New Roman"/>
                <w:sz w:val="24"/>
                <w:szCs w:val="24"/>
              </w:rPr>
              <w:t xml:space="preserve"> </w:t>
            </w:r>
            <w:r>
              <w:rPr>
                <w:rFonts w:hint="default" w:eastAsia="宋体" w:cs="Times New Roman"/>
                <w:sz w:val="24"/>
                <w:szCs w:val="24"/>
                <w:lang w:val="zh-TW" w:eastAsia="zh-TW"/>
              </w:rPr>
              <w:t>二尖瓣环的自动定位。针对二尖瓣口血流的频谱，算法进行自适应阈值分割。另外，由于取样门容易受到心肌及瓣膜运动影响，因此频谱上容易出现干扰信号。算法通过滤波设计滤除干扰信号，实现对频谱的自动周期识别及</w:t>
            </w:r>
            <w:r>
              <w:rPr>
                <w:rFonts w:hint="default" w:eastAsia="宋体" w:cs="Times New Roman"/>
                <w:sz w:val="24"/>
                <w:szCs w:val="24"/>
                <w:lang w:val="zh-CN"/>
              </w:rPr>
              <w:t>E</w:t>
            </w:r>
            <w:r>
              <w:rPr>
                <w:rFonts w:hint="default" w:eastAsia="宋体" w:cs="Times New Roman"/>
                <w:sz w:val="24"/>
                <w:szCs w:val="24"/>
                <w:lang w:val="zh-TW" w:eastAsia="zh-TW"/>
              </w:rPr>
              <w:t>峰、</w:t>
            </w:r>
            <w:r>
              <w:rPr>
                <w:rFonts w:hint="default" w:eastAsia="宋体" w:cs="Times New Roman"/>
                <w:sz w:val="24"/>
                <w:szCs w:val="24"/>
                <w:lang w:val="zh-CN"/>
              </w:rPr>
              <w:t>A</w:t>
            </w:r>
            <w:r>
              <w:rPr>
                <w:rFonts w:hint="default" w:eastAsia="宋体" w:cs="Times New Roman"/>
                <w:sz w:val="24"/>
                <w:szCs w:val="24"/>
                <w:lang w:val="zh-TW" w:eastAsia="zh-TW"/>
              </w:rPr>
              <w:t>峰自动计算。</w:t>
            </w:r>
          </w:p>
        </w:tc>
      </w:tr>
      <w:tr w14:paraId="5B9225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129" w:type="dxa"/>
            <w:shd w:val="clear" w:color="auto" w:fill="auto"/>
            <w:vAlign w:val="center"/>
          </w:tcPr>
          <w:p w14:paraId="46755ACA">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center"/>
              <w:textAlignment w:val="auto"/>
              <w:rPr>
                <w:rFonts w:hint="default" w:eastAsia="宋体" w:cs="Times New Roman"/>
                <w:sz w:val="24"/>
                <w:szCs w:val="24"/>
                <w:lang w:val="en-US" w:eastAsia="zh-CN"/>
              </w:rPr>
            </w:pPr>
            <w:r>
              <w:rPr>
                <w:rFonts w:hint="default" w:cs="Times New Roman"/>
                <w:color w:val="auto"/>
                <w:sz w:val="24"/>
                <w:szCs w:val="24"/>
                <w:lang w:val="en-US" w:eastAsia="zh-CN"/>
              </w:rPr>
              <w:t>29</w:t>
            </w:r>
          </w:p>
        </w:tc>
        <w:tc>
          <w:tcPr>
            <w:tcW w:w="1418" w:type="dxa"/>
            <w:shd w:val="clear" w:color="auto" w:fill="auto"/>
            <w:vAlign w:val="center"/>
          </w:tcPr>
          <w:p w14:paraId="243B2375">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hint="default"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eastAsia="宋体" w:cs="Times New Roman"/>
                <w:sz w:val="24"/>
                <w:szCs w:val="24"/>
              </w:rPr>
              <w:t>Auto EF自动射血分数计算</w:t>
            </w:r>
          </w:p>
        </w:tc>
        <w:tc>
          <w:tcPr>
            <w:tcW w:w="6401" w:type="dxa"/>
            <w:shd w:val="clear" w:color="auto" w:fill="auto"/>
            <w:vAlign w:val="top"/>
          </w:tcPr>
          <w:p w14:paraId="769EC691">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hint="default"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eastAsia="宋体" w:cs="Times New Roman"/>
                <w:sz w:val="24"/>
                <w:szCs w:val="24"/>
                <w:lang w:val="zh-TW" w:eastAsia="zh-TW"/>
              </w:rPr>
              <w:t>自动射血分数计算（</w:t>
            </w:r>
            <w:r>
              <w:rPr>
                <w:rFonts w:hint="default" w:eastAsia="宋体" w:cs="Times New Roman"/>
                <w:sz w:val="24"/>
                <w:szCs w:val="24"/>
              </w:rPr>
              <w:t>Auto EF</w:t>
            </w:r>
            <w:r>
              <w:rPr>
                <w:rFonts w:hint="default" w:eastAsia="宋体" w:cs="Times New Roman"/>
                <w:sz w:val="24"/>
                <w:szCs w:val="24"/>
                <w:lang w:val="zh-TW" w:eastAsia="zh-TW"/>
              </w:rPr>
              <w:t>）是通过心尖四腔或心尖两腔切面，对舒张末期和收缩末期心内膜的描迹，把左室分成若干个（一般是</w:t>
            </w:r>
            <w:r>
              <w:rPr>
                <w:rFonts w:hint="default" w:eastAsia="宋体" w:cs="Times New Roman"/>
                <w:sz w:val="24"/>
                <w:szCs w:val="24"/>
                <w:lang w:val="zh-CN"/>
              </w:rPr>
              <w:t>20</w:t>
            </w:r>
            <w:r>
              <w:rPr>
                <w:rFonts w:hint="default" w:eastAsia="宋体" w:cs="Times New Roman"/>
                <w:sz w:val="24"/>
                <w:szCs w:val="24"/>
                <w:lang w:val="zh-TW" w:eastAsia="zh-TW"/>
              </w:rPr>
              <w:t>个）圆柱体，分别计算出每个圆柱体体积相加即可得出左室舒张末期和收缩末期容积，进而计算出射血分数。结合模式识别、图像处理的方法，实现超声图像（心尖四腔切面、心尖两腔切面）的切面类型识别，并对左室内膜自动描迹与跟踪，进而一键获取</w:t>
            </w:r>
            <w:r>
              <w:rPr>
                <w:rFonts w:hint="default" w:eastAsia="宋体" w:cs="Times New Roman"/>
                <w:sz w:val="24"/>
                <w:szCs w:val="24"/>
              </w:rPr>
              <w:t xml:space="preserve"> </w:t>
            </w:r>
            <w:r>
              <w:rPr>
                <w:rFonts w:hint="default" w:eastAsia="宋体" w:cs="Times New Roman"/>
                <w:sz w:val="24"/>
                <w:szCs w:val="24"/>
                <w:lang w:val="zh-TW" w:eastAsia="zh-TW"/>
              </w:rPr>
              <w:t>。</w:t>
            </w:r>
          </w:p>
        </w:tc>
      </w:tr>
      <w:tr w14:paraId="6CD709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129" w:type="dxa"/>
            <w:shd w:val="clear" w:color="auto" w:fill="auto"/>
            <w:vAlign w:val="center"/>
          </w:tcPr>
          <w:p w14:paraId="527BAD6C">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center"/>
              <w:textAlignment w:val="auto"/>
              <w:rPr>
                <w:rFonts w:hint="default" w:eastAsia="宋体" w:cs="Times New Roman"/>
                <w:sz w:val="24"/>
                <w:szCs w:val="24"/>
                <w:lang w:val="en-US" w:eastAsia="zh-CN"/>
              </w:rPr>
            </w:pPr>
            <w:r>
              <w:rPr>
                <w:rFonts w:hint="default" w:cs="Times New Roman"/>
                <w:color w:val="auto"/>
                <w:sz w:val="24"/>
                <w:szCs w:val="24"/>
              </w:rPr>
              <w:t>3</w:t>
            </w:r>
            <w:r>
              <w:rPr>
                <w:rFonts w:hint="default" w:cs="Times New Roman"/>
                <w:color w:val="auto"/>
                <w:sz w:val="24"/>
                <w:szCs w:val="24"/>
                <w:lang w:val="en-US" w:eastAsia="zh-CN"/>
              </w:rPr>
              <w:t>0</w:t>
            </w:r>
          </w:p>
        </w:tc>
        <w:tc>
          <w:tcPr>
            <w:tcW w:w="1418" w:type="dxa"/>
            <w:shd w:val="clear" w:color="auto" w:fill="auto"/>
            <w:vAlign w:val="center"/>
          </w:tcPr>
          <w:p w14:paraId="7E0BBC94">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hint="default"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eastAsia="宋体" w:cs="Times New Roman"/>
                <w:sz w:val="24"/>
                <w:szCs w:val="24"/>
              </w:rPr>
              <w:t>Auto Strain LV左心室自动应变分析功能</w:t>
            </w:r>
          </w:p>
        </w:tc>
        <w:tc>
          <w:tcPr>
            <w:tcW w:w="6401" w:type="dxa"/>
            <w:shd w:val="clear" w:color="auto" w:fill="auto"/>
            <w:vAlign w:val="top"/>
          </w:tcPr>
          <w:p w14:paraId="567B675A">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hint="default"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eastAsia="宋体" w:cs="Times New Roman"/>
                <w:sz w:val="24"/>
                <w:szCs w:val="24"/>
                <w:lang w:val="zh-TW" w:eastAsia="zh-TW"/>
              </w:rPr>
              <w:t>左心室自动应变分析功能（</w:t>
            </w:r>
            <w:r>
              <w:rPr>
                <w:rFonts w:hint="default" w:eastAsia="宋体" w:cs="Times New Roman"/>
                <w:sz w:val="24"/>
                <w:szCs w:val="24"/>
              </w:rPr>
              <w:t>Auto Strain LV</w:t>
            </w:r>
            <w:r>
              <w:rPr>
                <w:rFonts w:hint="default" w:eastAsia="宋体" w:cs="Times New Roman"/>
                <w:sz w:val="24"/>
                <w:szCs w:val="24"/>
                <w:lang w:val="zh-TW" w:eastAsia="zh-TW"/>
              </w:rPr>
              <w:t>）基于全新心脏专科探头生成的高质量图像，采用前沿图像处理及模式识别算法，实现了准确、高效的左心室自动定位、追踪和计算。可一键完成左室心尖多个切面的同步全自动分析，提供彩色应变值、心尖短缩与心率变异提示、像素级冠脉牛眼图等多种显示效果，为临床诊断提供了更直观、优越的指导方式。对于分析结果，支持全面的参数计算与</w:t>
            </w:r>
            <w:r>
              <w:rPr>
                <w:rFonts w:hint="default" w:eastAsia="宋体" w:cs="Times New Roman"/>
                <w:sz w:val="24"/>
                <w:szCs w:val="24"/>
                <w:lang w:val="zh-CN"/>
              </w:rPr>
              <w:t>参数导出</w:t>
            </w:r>
            <w:r>
              <w:rPr>
                <w:rFonts w:hint="default" w:eastAsia="宋体" w:cs="Times New Roman"/>
                <w:sz w:val="24"/>
                <w:szCs w:val="24"/>
                <w:lang w:val="zh-TW" w:eastAsia="zh-TW"/>
              </w:rPr>
              <w:t>，包括：容积、射血分数、径向与纵向应变、应变率、位移和速度等。此外，还提供左室短轴和心腔造影模式下长轴切面的半自动分析，在心尖长轴分析基础上，丰富用户进行深入科研探索的能力。支持对无</w:t>
            </w:r>
            <w:r>
              <w:rPr>
                <w:rFonts w:hint="default" w:eastAsia="宋体" w:cs="Times New Roman"/>
                <w:sz w:val="24"/>
                <w:szCs w:val="24"/>
              </w:rPr>
              <w:t>ECG</w:t>
            </w:r>
            <w:r>
              <w:rPr>
                <w:rFonts w:hint="default" w:eastAsia="宋体" w:cs="Times New Roman"/>
                <w:sz w:val="24"/>
                <w:szCs w:val="24"/>
                <w:lang w:val="zh-TW" w:eastAsia="zh-TW"/>
              </w:rPr>
              <w:t>信号心脏超声电影进行多切面全自动分析。</w:t>
            </w:r>
          </w:p>
        </w:tc>
      </w:tr>
      <w:tr w14:paraId="75F7A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129" w:type="dxa"/>
            <w:shd w:val="clear" w:color="auto" w:fill="auto"/>
            <w:vAlign w:val="center"/>
          </w:tcPr>
          <w:p w14:paraId="269170A0">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center"/>
              <w:textAlignment w:val="auto"/>
              <w:rPr>
                <w:rFonts w:hint="default" w:eastAsia="宋体" w:cs="Times New Roman"/>
                <w:sz w:val="24"/>
                <w:szCs w:val="24"/>
                <w:lang w:val="en-US" w:eastAsia="zh-CN"/>
              </w:rPr>
            </w:pPr>
            <w:r>
              <w:rPr>
                <w:rFonts w:hint="default" w:cs="Times New Roman"/>
                <w:sz w:val="24"/>
                <w:szCs w:val="24"/>
                <w:lang w:val="en-US" w:eastAsia="zh-CN"/>
              </w:rPr>
              <w:t>31</w:t>
            </w:r>
          </w:p>
        </w:tc>
        <w:tc>
          <w:tcPr>
            <w:tcW w:w="1418" w:type="dxa"/>
            <w:shd w:val="clear" w:color="auto" w:fill="auto"/>
            <w:vAlign w:val="center"/>
          </w:tcPr>
          <w:p w14:paraId="3547E81D">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hint="default"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eastAsia="宋体" w:cs="Times New Roman"/>
                <w:sz w:val="24"/>
                <w:szCs w:val="24"/>
              </w:rPr>
              <w:t>Auto VQLA自动左房容积定量</w:t>
            </w:r>
          </w:p>
        </w:tc>
        <w:tc>
          <w:tcPr>
            <w:tcW w:w="6401" w:type="dxa"/>
            <w:shd w:val="clear" w:color="auto" w:fill="auto"/>
            <w:vAlign w:val="top"/>
          </w:tcPr>
          <w:p w14:paraId="3EAF71C3">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hint="default"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eastAsia="宋体" w:cs="Times New Roman"/>
                <w:sz w:val="24"/>
                <w:szCs w:val="24"/>
                <w:lang w:val="zh-TW" w:eastAsia="zh-TW"/>
              </w:rPr>
              <w:t>自动左房容积定量（</w:t>
            </w:r>
            <w:r>
              <w:rPr>
                <w:rFonts w:hint="default" w:eastAsia="宋体" w:cs="Times New Roman"/>
                <w:sz w:val="24"/>
                <w:szCs w:val="24"/>
              </w:rPr>
              <w:t>Auto VQLA</w:t>
            </w:r>
            <w:r>
              <w:rPr>
                <w:rFonts w:hint="default" w:eastAsia="宋体" w:cs="Times New Roman"/>
                <w:sz w:val="24"/>
                <w:szCs w:val="24"/>
                <w:lang w:val="zh-TW" w:eastAsia="zh-TW"/>
              </w:rPr>
              <w:t>）是基于图像处理与模式识别算法，适用于成人心脏左心房容量自动评估的技术。该功能可在一段左房电影数据中自动识别切面类型、自动检测时相、自动描记舒张末和收缩末左房轮廓、自动识别关键点并计算左房最大容积和最小容积，进而计算左房排空分数等测量参数，</w:t>
            </w:r>
            <w:r>
              <w:rPr>
                <w:rFonts w:hint="default" w:eastAsia="宋体" w:cs="Times New Roman"/>
                <w:sz w:val="24"/>
                <w:szCs w:val="24"/>
                <w:lang w:val="zh-CN"/>
              </w:rPr>
              <w:t>并</w:t>
            </w:r>
            <w:r>
              <w:rPr>
                <w:rFonts w:hint="default" w:eastAsia="宋体" w:cs="Times New Roman"/>
                <w:sz w:val="24"/>
                <w:szCs w:val="24"/>
                <w:lang w:val="zh-TW" w:eastAsia="zh-TW"/>
              </w:rPr>
              <w:t>支持无</w:t>
            </w:r>
            <w:r>
              <w:rPr>
                <w:rFonts w:hint="default" w:eastAsia="宋体" w:cs="Times New Roman"/>
                <w:sz w:val="24"/>
                <w:szCs w:val="24"/>
                <w:lang w:val="zh-CN"/>
              </w:rPr>
              <w:t>心电信号</w:t>
            </w:r>
            <w:r>
              <w:rPr>
                <w:rFonts w:hint="default" w:eastAsia="宋体" w:cs="Times New Roman"/>
                <w:sz w:val="24"/>
                <w:szCs w:val="24"/>
                <w:lang w:val="zh-TW" w:eastAsia="zh-TW"/>
              </w:rPr>
              <w:t>场景</w:t>
            </w:r>
            <w:r>
              <w:rPr>
                <w:rFonts w:hint="default" w:eastAsia="宋体" w:cs="Times New Roman"/>
                <w:sz w:val="24"/>
                <w:szCs w:val="24"/>
                <w:lang w:val="zh-CN"/>
              </w:rPr>
              <w:t>。</w:t>
            </w:r>
          </w:p>
        </w:tc>
      </w:tr>
      <w:tr w14:paraId="48D1C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129" w:type="dxa"/>
            <w:shd w:val="clear" w:color="auto" w:fill="auto"/>
            <w:vAlign w:val="center"/>
          </w:tcPr>
          <w:p w14:paraId="5C84BF5D">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center"/>
              <w:textAlignment w:val="auto"/>
              <w:rPr>
                <w:rFonts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cs="Times New Roman"/>
                <w:color w:val="auto"/>
                <w:sz w:val="24"/>
                <w:szCs w:val="24"/>
              </w:rPr>
              <w:t>3</w:t>
            </w:r>
            <w:r>
              <w:rPr>
                <w:rFonts w:hint="default" w:cs="Times New Roman"/>
                <w:color w:val="auto"/>
                <w:sz w:val="24"/>
                <w:szCs w:val="24"/>
              </w:rPr>
              <w:t>2</w:t>
            </w:r>
          </w:p>
        </w:tc>
        <w:tc>
          <w:tcPr>
            <w:tcW w:w="1418" w:type="dxa"/>
            <w:shd w:val="clear" w:color="auto" w:fill="auto"/>
            <w:vAlign w:val="center"/>
          </w:tcPr>
          <w:p w14:paraId="571C774A">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hint="default"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eastAsia="宋体" w:cs="Times New Roman"/>
                <w:sz w:val="24"/>
                <w:szCs w:val="24"/>
              </w:rPr>
              <w:t>V Flow动态向量血流技术</w:t>
            </w:r>
          </w:p>
        </w:tc>
        <w:tc>
          <w:tcPr>
            <w:tcW w:w="6401" w:type="dxa"/>
            <w:shd w:val="clear" w:color="auto" w:fill="auto"/>
            <w:vAlign w:val="top"/>
          </w:tcPr>
          <w:p w14:paraId="1D9BC8B5">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hint="default"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eastAsia="宋体" w:cs="Times New Roman"/>
                <w:sz w:val="24"/>
                <w:szCs w:val="24"/>
                <w:lang w:val="zh-TW" w:eastAsia="zh-TW"/>
              </w:rPr>
              <w:t>动态向量血流技术</w:t>
            </w:r>
            <w:r>
              <w:rPr>
                <w:rFonts w:hint="default" w:eastAsia="宋体" w:cs="Times New Roman"/>
                <w:sz w:val="24"/>
                <w:szCs w:val="24"/>
              </w:rPr>
              <w:t>(V Flow)</w:t>
            </w:r>
            <w:r>
              <w:rPr>
                <w:rFonts w:hint="default" w:eastAsia="宋体" w:cs="Times New Roman"/>
                <w:sz w:val="24"/>
                <w:szCs w:val="24"/>
                <w:lang w:val="zh-TW" w:eastAsia="zh-TW"/>
              </w:rPr>
              <w:t>克服了传统多普勒角度依赖的技术瓶颈，可以捕获到各个方向上的血流信息。在弯曲的血管，血管分叉处或斑块所致的复杂血流动力学流场的变化，动态向量血流技术都能获得精准的血流速度大小和方向。同时，动态向量血流技术与传统的彩色多普勒超声不同，它有极佳的时间分辨率，是传统彩色多普勒超声的</w:t>
            </w:r>
            <w:r>
              <w:rPr>
                <w:rFonts w:hint="default" w:eastAsia="宋体" w:cs="Times New Roman"/>
                <w:sz w:val="24"/>
                <w:szCs w:val="24"/>
              </w:rPr>
              <w:t>40</w:t>
            </w:r>
            <w:r>
              <w:rPr>
                <w:rFonts w:hint="default" w:eastAsia="宋体" w:cs="Times New Roman"/>
                <w:sz w:val="24"/>
                <w:szCs w:val="24"/>
                <w:lang w:val="zh-TW" w:eastAsia="zh-TW"/>
              </w:rPr>
              <w:t>倍以上，达到毫秒级的血流显示，这对深入分析血流动力学变化与时相之间关系</w:t>
            </w:r>
            <w:r>
              <w:rPr>
                <w:rFonts w:hint="default" w:eastAsia="宋体" w:cs="Times New Roman"/>
                <w:sz w:val="24"/>
                <w:szCs w:val="24"/>
                <w:lang w:val="zh-CN"/>
              </w:rPr>
              <w:t>提供了全新的视角和方法</w:t>
            </w:r>
            <w:r>
              <w:rPr>
                <w:rFonts w:hint="default" w:eastAsia="宋体" w:cs="Times New Roman"/>
                <w:sz w:val="24"/>
                <w:szCs w:val="24"/>
                <w:lang w:val="zh-TW" w:eastAsia="zh-TW"/>
              </w:rPr>
              <w:t>。</w:t>
            </w:r>
          </w:p>
        </w:tc>
      </w:tr>
      <w:tr w14:paraId="0F2F2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129" w:type="dxa"/>
            <w:shd w:val="clear" w:color="auto" w:fill="auto"/>
            <w:vAlign w:val="center"/>
          </w:tcPr>
          <w:p w14:paraId="7908070E">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center"/>
              <w:textAlignment w:val="auto"/>
              <w:rPr>
                <w:rFonts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cs="Times New Roman"/>
                <w:color w:val="auto"/>
                <w:sz w:val="24"/>
                <w:szCs w:val="24"/>
              </w:rPr>
              <w:t>3</w:t>
            </w:r>
            <w:r>
              <w:rPr>
                <w:rFonts w:hint="default" w:cs="Times New Roman"/>
                <w:color w:val="auto"/>
                <w:sz w:val="24"/>
                <w:szCs w:val="24"/>
              </w:rPr>
              <w:t>3</w:t>
            </w:r>
          </w:p>
        </w:tc>
        <w:tc>
          <w:tcPr>
            <w:tcW w:w="1418" w:type="dxa"/>
            <w:shd w:val="clear" w:color="auto" w:fill="auto"/>
            <w:vAlign w:val="center"/>
          </w:tcPr>
          <w:p w14:paraId="4FD60A0E">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hint="default"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eastAsia="宋体" w:cs="Times New Roman"/>
                <w:sz w:val="24"/>
                <w:szCs w:val="24"/>
              </w:rPr>
              <w:t>Echo Contrast Imaging QA心肌造影定量分析功能</w:t>
            </w:r>
          </w:p>
        </w:tc>
        <w:tc>
          <w:tcPr>
            <w:tcW w:w="6401" w:type="dxa"/>
            <w:shd w:val="clear" w:color="auto" w:fill="auto"/>
            <w:vAlign w:val="top"/>
          </w:tcPr>
          <w:p w14:paraId="40A398DC">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hint="default"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eastAsia="宋体" w:cs="Times New Roman"/>
                <w:sz w:val="24"/>
                <w:szCs w:val="24"/>
                <w:lang w:val="zh-TW" w:eastAsia="zh-TW"/>
              </w:rPr>
              <w:t>心肌造影定量分析功能</w:t>
            </w:r>
            <w:r>
              <w:rPr>
                <w:rFonts w:hint="default" w:eastAsia="宋体" w:cs="Times New Roman"/>
                <w:sz w:val="24"/>
                <w:szCs w:val="24"/>
              </w:rPr>
              <w:t>Echo Contrast Imaging QA</w:t>
            </w:r>
            <w:r>
              <w:rPr>
                <w:rFonts w:hint="default" w:eastAsia="宋体" w:cs="Times New Roman"/>
                <w:sz w:val="24"/>
                <w:szCs w:val="24"/>
                <w:lang w:val="zh-TW" w:eastAsia="zh-TW"/>
              </w:rPr>
              <w:t>通过设置</w:t>
            </w:r>
            <w:r>
              <w:rPr>
                <w:rFonts w:hint="default" w:eastAsia="宋体" w:cs="Times New Roman"/>
                <w:sz w:val="24"/>
                <w:szCs w:val="24"/>
              </w:rPr>
              <w:t>ED</w:t>
            </w:r>
            <w:r>
              <w:rPr>
                <w:rFonts w:hint="default" w:eastAsia="宋体" w:cs="Times New Roman"/>
                <w:sz w:val="24"/>
                <w:szCs w:val="24"/>
                <w:lang w:val="zh-TW" w:eastAsia="zh-TW"/>
              </w:rPr>
              <w:t>（舒张末期），</w:t>
            </w:r>
            <w:r>
              <w:rPr>
                <w:rFonts w:hint="default" w:eastAsia="宋体" w:cs="Times New Roman"/>
                <w:sz w:val="24"/>
                <w:szCs w:val="24"/>
              </w:rPr>
              <w:t>ES</w:t>
            </w:r>
            <w:r>
              <w:rPr>
                <w:rFonts w:hint="default" w:eastAsia="宋体" w:cs="Times New Roman"/>
                <w:sz w:val="24"/>
                <w:szCs w:val="24"/>
                <w:lang w:val="zh-TW" w:eastAsia="zh-TW"/>
              </w:rPr>
              <w:t>（收缩末期），</w:t>
            </w:r>
            <w:r>
              <w:rPr>
                <w:rFonts w:hint="default" w:eastAsia="宋体" w:cs="Times New Roman"/>
                <w:sz w:val="24"/>
                <w:szCs w:val="24"/>
              </w:rPr>
              <w:t>ERF</w:t>
            </w:r>
            <w:r>
              <w:rPr>
                <w:rFonts w:hint="default" w:eastAsia="宋体" w:cs="Times New Roman"/>
                <w:sz w:val="24"/>
                <w:szCs w:val="24"/>
                <w:lang w:val="zh-TW" w:eastAsia="zh-TW"/>
              </w:rPr>
              <w:t>（快速充盈末期）时相并在对应超声图像上进行描迹形成关键帧，之后将描迹的轮廓利用信息同步到所有周期，再对关键帧之间的过渡帧的轮廓进行线性插值计算，最终实现跟随心肌运动的效果，并通过拟合内的时间强度曲线得到灌注定量参数。</w:t>
            </w:r>
          </w:p>
        </w:tc>
      </w:tr>
      <w:tr w14:paraId="2A37E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129" w:type="dxa"/>
            <w:shd w:val="clear" w:color="auto" w:fill="auto"/>
            <w:vAlign w:val="center"/>
          </w:tcPr>
          <w:p w14:paraId="6FBF66FA">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center"/>
              <w:textAlignment w:val="auto"/>
              <w:rPr>
                <w:rFonts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cs="Times New Roman"/>
                <w:color w:val="auto"/>
                <w:sz w:val="24"/>
                <w:szCs w:val="24"/>
              </w:rPr>
              <w:t>34</w:t>
            </w:r>
          </w:p>
        </w:tc>
        <w:tc>
          <w:tcPr>
            <w:tcW w:w="1418" w:type="dxa"/>
            <w:shd w:val="clear" w:color="auto" w:fill="auto"/>
            <w:vAlign w:val="center"/>
          </w:tcPr>
          <w:p w14:paraId="0B4C332D">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hint="default"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eastAsia="宋体" w:cs="Times New Roman"/>
                <w:sz w:val="24"/>
                <w:szCs w:val="24"/>
              </w:rPr>
              <w:t>Smart ERA子宫内膜容受性分析</w:t>
            </w:r>
          </w:p>
        </w:tc>
        <w:tc>
          <w:tcPr>
            <w:tcW w:w="6401" w:type="dxa"/>
            <w:shd w:val="clear" w:color="auto" w:fill="auto"/>
            <w:vAlign w:val="top"/>
          </w:tcPr>
          <w:p w14:paraId="0C57DE3A">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hint="default"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eastAsia="宋体" w:cs="Times New Roman"/>
                <w:sz w:val="24"/>
                <w:szCs w:val="24"/>
              </w:rPr>
              <w:t>Smart ERA功能是一种快速实现三维超声子宫内膜容受性分析的软件，可以实现一键获取子宫三维体数据，进而自动获取内膜冠状面成像图，并自动计算子宫内膜容积、厚度等参数，对于带有彩色或能量多普勒血流信号的三维数据还能自动获得血管指数（Vascularization Index, VI）、血流指数（Flow Index, FI）、血管血流指数（Vascularization Flow index,VFI）测量结果。Smart ERA 显著提升了临床检查效率，将原本使用手动工具 3-5 分钟才能完成的成像测量减少到 2-3秒。临床验证结果表明，相比于手动测量，Smart ERA 显著提升了三维超声下子宫内膜容受性分析的效率和准确性。其自动冠状面曲面重建功能在子宫畸形和病灶显示方面也有一定的临床价值。</w:t>
            </w:r>
          </w:p>
        </w:tc>
      </w:tr>
      <w:tr w14:paraId="7C780A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129" w:type="dxa"/>
            <w:shd w:val="clear" w:color="auto" w:fill="auto"/>
            <w:vAlign w:val="center"/>
          </w:tcPr>
          <w:p w14:paraId="1518B08E">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center"/>
              <w:textAlignment w:val="auto"/>
              <w:rPr>
                <w:rFonts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cs="Times New Roman"/>
                <w:color w:val="auto"/>
                <w:sz w:val="24"/>
                <w:szCs w:val="24"/>
              </w:rPr>
              <w:t>35</w:t>
            </w:r>
          </w:p>
        </w:tc>
        <w:tc>
          <w:tcPr>
            <w:tcW w:w="1418" w:type="dxa"/>
            <w:shd w:val="clear" w:color="auto" w:fill="auto"/>
            <w:vAlign w:val="center"/>
          </w:tcPr>
          <w:p w14:paraId="6FA69B53">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hint="default"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eastAsia="宋体" w:cs="Times New Roman"/>
                <w:sz w:val="24"/>
                <w:szCs w:val="24"/>
              </w:rPr>
              <w:t>Smart Pelvic自动盆底超声解决方案</w:t>
            </w:r>
          </w:p>
        </w:tc>
        <w:tc>
          <w:tcPr>
            <w:tcW w:w="6401" w:type="dxa"/>
            <w:shd w:val="clear" w:color="auto" w:fill="auto"/>
            <w:vAlign w:val="top"/>
          </w:tcPr>
          <w:p w14:paraId="17C9DF74">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hint="default"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eastAsia="宋体" w:cs="Times New Roman"/>
                <w:sz w:val="24"/>
                <w:szCs w:val="24"/>
              </w:rPr>
              <w:t>女性盆底超声解决方案主要包括：二维模式下提供了盆腔测量工具包，能够帮助用户简单快捷完成前、中、后盆腔测量；三维/四维超声下提供了肛提肌裂孔自动成像和测量，肛提肌自动断层成像&amp;测量以及肛门括约肌定位三种工具，帮助用户快速获取肛提肌裂孔/肛门括约肌检查所需的图像，并进行各项关键指标的自动计算，显著提升了临床检查效率，以肛提肌裂孔成像和测量为例，相比于手动操作，操作耗时缩短了近30倍（由1-2分钟缩短为2s）。</w:t>
            </w:r>
          </w:p>
        </w:tc>
      </w:tr>
      <w:tr w14:paraId="3ACA8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129" w:type="dxa"/>
            <w:shd w:val="clear" w:color="auto" w:fill="auto"/>
            <w:vAlign w:val="center"/>
          </w:tcPr>
          <w:p w14:paraId="0E63681F">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center"/>
              <w:textAlignment w:val="auto"/>
              <w:rPr>
                <w:rFonts w:ascii="Times New Roman" w:hAnsi="Times New Roman" w:eastAsia="宋体" w:cs="Times New Roman"/>
                <w:iCs/>
                <w:color w:val="auto"/>
                <w:sz w:val="24"/>
                <w:szCs w:val="24"/>
                <w:lang w:val="en-US" w:eastAsia="zh-CN" w:bidi="ar-SA"/>
              </w:rPr>
            </w:pPr>
            <w:r>
              <w:rPr>
                <w:rFonts w:hint="default" w:cs="Times New Roman"/>
                <w:color w:val="auto"/>
                <w:sz w:val="24"/>
                <w:szCs w:val="24"/>
              </w:rPr>
              <w:t>36</w:t>
            </w:r>
          </w:p>
        </w:tc>
        <w:tc>
          <w:tcPr>
            <w:tcW w:w="1418" w:type="dxa"/>
            <w:shd w:val="clear" w:color="auto" w:fill="auto"/>
            <w:vAlign w:val="center"/>
          </w:tcPr>
          <w:p w14:paraId="53AE75C3">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hint="default"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eastAsia="宋体" w:cs="Times New Roman"/>
                <w:sz w:val="24"/>
                <w:szCs w:val="24"/>
              </w:rPr>
              <w:t>EmPA子宫内膜蠕动波分析功能</w:t>
            </w:r>
          </w:p>
        </w:tc>
        <w:tc>
          <w:tcPr>
            <w:tcW w:w="6401" w:type="dxa"/>
            <w:shd w:val="clear" w:color="auto" w:fill="auto"/>
            <w:vAlign w:val="top"/>
          </w:tcPr>
          <w:p w14:paraId="368CC722">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hint="default"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eastAsia="宋体" w:cs="Times New Roman"/>
                <w:sz w:val="24"/>
                <w:szCs w:val="24"/>
              </w:rPr>
              <w:t>子宫内膜蠕动波显示与定量技术EmPA，是可直观矢量显示、自动检测并精准定量分析内膜微小蠕动的超声工具。其基于机械波原理设计，并基于迈瑞全新“无极”声学智慧平台，通过向人体内膜组织持续发送高帧率的超声波，基于超声原始射频回波信号，采用亚微米级运动检测专利技术与创新信号处理算法，精准跟踪子宫内膜的蠕动情况，实现内膜组织全方向蠕动的实时彩色编码显示及动态矢量显示，通过进一步提供蠕动波轨迹总览图与多个定量参数，如内膜蠕动的方向、频次、强度、传播距离、传播时间、传播速度、蠕动波间隔等，帮助医生更有效的分析整体与局部的蠕动情况，大大提升医生对微小蠕动的识别率和准确率，获得规范化的定量统计分析结果。</w:t>
            </w:r>
          </w:p>
        </w:tc>
      </w:tr>
      <w:tr w14:paraId="20B35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129" w:type="dxa"/>
            <w:shd w:val="clear" w:color="auto" w:fill="auto"/>
            <w:vAlign w:val="center"/>
          </w:tcPr>
          <w:p w14:paraId="10A1617B">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center"/>
              <w:textAlignment w:val="auto"/>
              <w:rPr>
                <w:rFonts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cs="Times New Roman"/>
                <w:color w:val="auto"/>
                <w:sz w:val="24"/>
                <w:szCs w:val="24"/>
              </w:rPr>
              <w:t>37</w:t>
            </w:r>
          </w:p>
        </w:tc>
        <w:tc>
          <w:tcPr>
            <w:tcW w:w="1418" w:type="dxa"/>
            <w:shd w:val="clear" w:color="auto" w:fill="auto"/>
            <w:vAlign w:val="center"/>
          </w:tcPr>
          <w:p w14:paraId="36034A6A">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hint="default"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eastAsia="宋体" w:cs="Times New Roman"/>
                <w:sz w:val="24"/>
                <w:szCs w:val="24"/>
              </w:rPr>
              <w:t>Holo UMA微血流定量分析技术</w:t>
            </w:r>
          </w:p>
        </w:tc>
        <w:tc>
          <w:tcPr>
            <w:tcW w:w="6401" w:type="dxa"/>
            <w:shd w:val="clear" w:color="auto" w:fill="auto"/>
            <w:vAlign w:val="top"/>
          </w:tcPr>
          <w:p w14:paraId="74C3F70A">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hint="default"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eastAsia="宋体" w:cs="Times New Roman"/>
                <w:sz w:val="24"/>
                <w:szCs w:val="24"/>
              </w:rPr>
              <w:t>微血流定量分析技术Holo UMA可以实现微血管走行、微血流动力学定量分析。微血管走行定量可基于任意帧超微血流（UMA）图像实现血流灌注及血管形态双维度多指标评价。血管灌注参数包括血管密度（VD）、血流容积（FWVD）、灌注指数（FPI），可以反映血管网络的密度、强度等特征；血管形态学参数包括距离指标（DM）、角度和指标（SOAM）、完整度指标（NBPA&amp;NBPPA），可反映微血管网络的分布、走行、复杂度等形态特征。微血流动力学定量是业内首发的微血流任意门频谱同时域测量技术，原始数据与UMA同源，单次采集可测多位置（最多5个SV）微血流频谱，并支持离线分析。Holo UMA技术使临床对微血管的评估，从可视化到可量化，可以用于全身各领域的微血管定量评估。</w:t>
            </w:r>
          </w:p>
        </w:tc>
      </w:tr>
      <w:tr w14:paraId="48899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129" w:type="dxa"/>
            <w:shd w:val="clear" w:color="auto" w:fill="auto"/>
            <w:vAlign w:val="center"/>
          </w:tcPr>
          <w:p w14:paraId="2F12815D">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center"/>
              <w:textAlignment w:val="auto"/>
              <w:rPr>
                <w:rFonts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cs="Times New Roman"/>
                <w:color w:val="auto"/>
                <w:sz w:val="24"/>
                <w:szCs w:val="24"/>
              </w:rPr>
              <w:t>38</w:t>
            </w:r>
          </w:p>
        </w:tc>
        <w:tc>
          <w:tcPr>
            <w:tcW w:w="1418" w:type="dxa"/>
            <w:shd w:val="clear" w:color="auto" w:fill="auto"/>
            <w:vAlign w:val="center"/>
          </w:tcPr>
          <w:p w14:paraId="3629C316">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hint="default"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eastAsia="宋体" w:cs="Times New Roman"/>
                <w:sz w:val="24"/>
                <w:szCs w:val="24"/>
                <w:lang w:val="en-US" w:eastAsia="zh-CN"/>
              </w:rPr>
              <w:t>呼吸机</w:t>
            </w:r>
          </w:p>
        </w:tc>
        <w:tc>
          <w:tcPr>
            <w:tcW w:w="6401" w:type="dxa"/>
            <w:shd w:val="clear" w:color="auto" w:fill="auto"/>
            <w:vAlign w:val="center"/>
          </w:tcPr>
          <w:p w14:paraId="6529171A">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hint="default"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eastAsia="宋体" w:cs="Times New Roman"/>
                <w:sz w:val="24"/>
                <w:szCs w:val="24"/>
                <w:lang w:val="en-US" w:eastAsia="zh-CN"/>
              </w:rPr>
              <w:t>SV900呼吸机基于全新技术平台和大数据技术，</w:t>
            </w:r>
            <w:r>
              <w:rPr>
                <w:rFonts w:hint="eastAsia" w:cs="Times New Roman"/>
                <w:sz w:val="24"/>
                <w:szCs w:val="24"/>
                <w:lang w:val="en-US" w:eastAsia="zh-CN"/>
              </w:rPr>
              <w:t>进行</w:t>
            </w:r>
            <w:r>
              <w:rPr>
                <w:rFonts w:hint="default" w:eastAsia="宋体" w:cs="Times New Roman"/>
                <w:sz w:val="24"/>
                <w:szCs w:val="24"/>
                <w:lang w:val="en-US" w:eastAsia="zh-CN"/>
              </w:rPr>
              <w:t>人工智能识别人机不同步和通气策略评估。食道压监测技术为临床提供更多监测参数的同时，提供更加易用的操作指导。EIT融合和无需附件的呼吸努力监测功能。此外SV800/SV700机型功能配置相近，可完成部分相关子课题研究。</w:t>
            </w:r>
          </w:p>
        </w:tc>
      </w:tr>
      <w:tr w14:paraId="5F02E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129" w:type="dxa"/>
            <w:shd w:val="clear" w:color="auto" w:fill="auto"/>
            <w:vAlign w:val="center"/>
          </w:tcPr>
          <w:p w14:paraId="1D2E5C90">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center"/>
              <w:textAlignment w:val="auto"/>
              <w:rPr>
                <w:rFonts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cs="Times New Roman"/>
                <w:color w:val="auto"/>
                <w:sz w:val="24"/>
                <w:szCs w:val="24"/>
              </w:rPr>
              <w:t>39</w:t>
            </w:r>
          </w:p>
        </w:tc>
        <w:tc>
          <w:tcPr>
            <w:tcW w:w="1418" w:type="dxa"/>
            <w:shd w:val="clear" w:color="auto" w:fill="auto"/>
            <w:vAlign w:val="center"/>
          </w:tcPr>
          <w:p w14:paraId="2F3A21D4">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hint="default"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eastAsia="宋体" w:cs="Times New Roman"/>
                <w:sz w:val="24"/>
                <w:szCs w:val="24"/>
                <w:lang w:val="en-US" w:eastAsia="zh-CN"/>
              </w:rPr>
              <w:t>麻醉机</w:t>
            </w:r>
          </w:p>
        </w:tc>
        <w:tc>
          <w:tcPr>
            <w:tcW w:w="6401" w:type="dxa"/>
            <w:shd w:val="clear" w:color="auto" w:fill="auto"/>
            <w:vAlign w:val="center"/>
          </w:tcPr>
          <w:p w14:paraId="0A091871">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hint="default"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eastAsia="宋体" w:cs="Times New Roman"/>
                <w:sz w:val="24"/>
                <w:szCs w:val="24"/>
                <w:lang w:val="en-US" w:eastAsia="zh-CN"/>
              </w:rPr>
              <w:t>A7麻醉机核心硬件搭载高精度气体混合系统，结合先进的流量传感器技术，确保麻醉气体浓度的精准调控与稳定输送，为患者构筑起安全可靠的麻醉防线。在通气模式上，不仅囊括了VCV、PCV - VG等经典模式，更创新性地支持AMV自主呼吸维持通气模式与APRV气道压力释放通气模式，满足不同患者的个性化需求。此外，还可实时进行驱动压和机械能监测，为评估肺损伤风险提供精准数据。而其搭载的AnaeSight高级监测功能，集成了麻醉深度监测、BIS监测、肌松监测等多维度数据，并通过专利参数eMAC进一步量化麻醉深度，</w:t>
            </w:r>
            <w:r>
              <w:rPr>
                <w:rFonts w:hint="eastAsia" w:cs="Times New Roman"/>
                <w:sz w:val="24"/>
                <w:szCs w:val="24"/>
                <w:lang w:val="en-US" w:eastAsia="zh-CN"/>
              </w:rPr>
              <w:t>有助</w:t>
            </w:r>
            <w:r>
              <w:rPr>
                <w:rFonts w:hint="default" w:eastAsia="宋体" w:cs="Times New Roman"/>
                <w:sz w:val="24"/>
                <w:szCs w:val="24"/>
                <w:lang w:val="en-US" w:eastAsia="zh-CN"/>
              </w:rPr>
              <w:t>更精准地调控麻醉状态。</w:t>
            </w:r>
          </w:p>
        </w:tc>
      </w:tr>
      <w:tr w14:paraId="7B1B5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129" w:type="dxa"/>
            <w:shd w:val="clear" w:color="auto" w:fill="auto"/>
            <w:vAlign w:val="center"/>
          </w:tcPr>
          <w:p w14:paraId="1FDCA23C">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center"/>
              <w:textAlignment w:val="auto"/>
              <w:rPr>
                <w:rFonts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cs="Times New Roman"/>
                <w:color w:val="auto"/>
                <w:sz w:val="24"/>
                <w:szCs w:val="24"/>
              </w:rPr>
              <w:t>40</w:t>
            </w:r>
          </w:p>
        </w:tc>
        <w:tc>
          <w:tcPr>
            <w:tcW w:w="1418" w:type="dxa"/>
            <w:shd w:val="clear" w:color="auto" w:fill="auto"/>
            <w:vAlign w:val="center"/>
          </w:tcPr>
          <w:p w14:paraId="3A1DE8E8">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hint="default" w:ascii="Times New Roman" w:hAnsi="Times New Roman" w:eastAsia="宋体" w:cs="Times New Roman"/>
                <w:iCs/>
                <w:color w:val="auto"/>
                <w:sz w:val="24"/>
                <w:szCs w:val="24"/>
                <w:lang w:val="en-US" w:eastAsia="zh-CN" w:bidi="ar-SA"/>
              </w:rPr>
            </w:pPr>
            <w:r>
              <w:rPr>
                <w:rFonts w:hint="default" w:eastAsia="宋体" w:cs="Times New Roman"/>
                <w:color w:val="auto"/>
                <w:sz w:val="24"/>
                <w:szCs w:val="24"/>
                <w:lang w:val="en-US" w:eastAsia="zh-CN"/>
              </w:rPr>
              <w:t>输注泵</w:t>
            </w:r>
          </w:p>
        </w:tc>
        <w:tc>
          <w:tcPr>
            <w:tcW w:w="6401" w:type="dxa"/>
            <w:shd w:val="clear" w:color="auto" w:fill="auto"/>
            <w:vAlign w:val="center"/>
          </w:tcPr>
          <w:p w14:paraId="2016DF7A">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hint="default" w:ascii="Times New Roman" w:hAnsi="Times New Roman" w:eastAsia="宋体" w:cs="Times New Roman"/>
                <w:iCs/>
                <w:color w:val="auto"/>
                <w:sz w:val="24"/>
                <w:szCs w:val="24"/>
                <w:lang w:val="en-US" w:eastAsia="zh-CN" w:bidi="ar-SA"/>
              </w:rPr>
            </w:pPr>
            <w:r>
              <w:rPr>
                <w:rFonts w:hint="default" w:eastAsia="宋体" w:cs="Times New Roman"/>
                <w:color w:val="auto"/>
                <w:sz w:val="24"/>
                <w:szCs w:val="24"/>
                <w:lang w:val="en-US" w:eastAsia="zh-CN"/>
              </w:rPr>
              <w:t>BeneFusion 系列注射泵/输液泵/输液信息采集系统采用精准的给药控制和高度信息化的解决方案，为不同临床科室提供专用的药物库信息和专用的输注模式，为临床液体治疗工作流程提供丰富优化方案。通过输液信息采集系统可以实现泵与泵之间灵活的自动化中继输注，也可以实现与中央监护系统和麻醉机的通讯，从而方便通过中央监护系统和麻醉机实时了解输注泵的工作状态并反向控制输注泵，如调节流速清除报警等功能。同时为临床整合分析患者生命体征趋势及用药详情提供了信息化基础。</w:t>
            </w:r>
          </w:p>
        </w:tc>
      </w:tr>
      <w:tr w14:paraId="1839F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129" w:type="dxa"/>
            <w:shd w:val="clear" w:color="auto" w:fill="auto"/>
            <w:vAlign w:val="center"/>
          </w:tcPr>
          <w:p w14:paraId="00E65804">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center"/>
              <w:textAlignment w:val="auto"/>
              <w:rPr>
                <w:rFonts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cs="Times New Roman"/>
                <w:color w:val="auto"/>
                <w:sz w:val="24"/>
                <w:szCs w:val="24"/>
              </w:rPr>
              <w:t>4</w:t>
            </w:r>
            <w:r>
              <w:rPr>
                <w:rFonts w:hint="default" w:cs="Times New Roman"/>
                <w:color w:val="auto"/>
                <w:sz w:val="24"/>
                <w:szCs w:val="24"/>
              </w:rPr>
              <w:t>1</w:t>
            </w:r>
          </w:p>
        </w:tc>
        <w:tc>
          <w:tcPr>
            <w:tcW w:w="1418" w:type="dxa"/>
            <w:shd w:val="clear" w:color="auto" w:fill="auto"/>
            <w:vAlign w:val="center"/>
          </w:tcPr>
          <w:p w14:paraId="43D2F1BE">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hint="default" w:ascii="Times New Roman" w:hAnsi="Times New Roman" w:eastAsia="宋体" w:cs="Times New Roman"/>
                <w:iCs/>
                <w:color w:val="auto"/>
                <w:sz w:val="24"/>
                <w:szCs w:val="24"/>
                <w:lang w:val="en-US" w:eastAsia="zh-CN" w:bidi="ar-SA"/>
              </w:rPr>
            </w:pPr>
            <w:r>
              <w:rPr>
                <w:rFonts w:hint="default" w:eastAsia="宋体" w:cs="Times New Roman"/>
                <w:color w:val="auto"/>
                <w:sz w:val="24"/>
                <w:szCs w:val="24"/>
                <w:lang w:val="en-US" w:eastAsia="zh-CN"/>
              </w:rPr>
              <w:t>生命体征监护仪</w:t>
            </w:r>
          </w:p>
        </w:tc>
        <w:tc>
          <w:tcPr>
            <w:tcW w:w="6401" w:type="dxa"/>
            <w:shd w:val="clear" w:color="auto" w:fill="auto"/>
            <w:vAlign w:val="center"/>
          </w:tcPr>
          <w:p w14:paraId="54DCD57C">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hint="default" w:ascii="Times New Roman" w:hAnsi="Times New Roman" w:eastAsia="宋体" w:cs="Times New Roman"/>
                <w:iCs/>
                <w:color w:val="auto"/>
                <w:sz w:val="24"/>
                <w:szCs w:val="24"/>
                <w:lang w:val="en-US" w:eastAsia="zh-CN" w:bidi="ar-SA"/>
              </w:rPr>
            </w:pPr>
            <w:r>
              <w:rPr>
                <w:rFonts w:hint="default" w:eastAsia="宋体" w:cs="Times New Roman"/>
                <w:color w:val="auto"/>
                <w:sz w:val="24"/>
                <w:szCs w:val="24"/>
                <w:lang w:val="en-US" w:eastAsia="zh-CN"/>
              </w:rPr>
              <w:t>mWear穿戴式生命体征监护仪，具备医疗级的多参数监测功能，如心电，血氧，无创血压，呼吸和体温测量等功能。设备采用了小巧的穿戴式设计，精准监测患者的运动时间和睡眠时间；同时能够识别患者四种状态：跌倒，运动，睡眠，休息，协助医护对患者康复状况的全面了解与评估。设备具备完善的网络架构，支持通过中央监护系统同步管理和查看患者状态，并支持跨学科，跨院区甚至跨院外数据互通，为多学科团队数据共享及疾病风险管理提供了网络基础。</w:t>
            </w:r>
          </w:p>
        </w:tc>
      </w:tr>
      <w:tr w14:paraId="23320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129" w:type="dxa"/>
            <w:shd w:val="clear" w:color="auto" w:fill="auto"/>
            <w:vAlign w:val="center"/>
          </w:tcPr>
          <w:p w14:paraId="24518DB9">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center"/>
              <w:textAlignment w:val="auto"/>
              <w:rPr>
                <w:rFonts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cs="Times New Roman"/>
                <w:color w:val="auto"/>
                <w:sz w:val="24"/>
                <w:szCs w:val="24"/>
              </w:rPr>
              <w:t>42</w:t>
            </w:r>
          </w:p>
        </w:tc>
        <w:tc>
          <w:tcPr>
            <w:tcW w:w="1418" w:type="dxa"/>
            <w:shd w:val="clear" w:color="auto" w:fill="auto"/>
            <w:vAlign w:val="center"/>
          </w:tcPr>
          <w:p w14:paraId="47C39807">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hint="default" w:ascii="Times New Roman" w:hAnsi="Times New Roman" w:eastAsia="宋体" w:cs="Times New Roman"/>
                <w:iCs/>
                <w:color w:val="auto"/>
                <w:sz w:val="24"/>
                <w:szCs w:val="24"/>
                <w:lang w:val="en-US" w:eastAsia="zh-CN" w:bidi="ar-SA"/>
              </w:rPr>
            </w:pPr>
            <w:r>
              <w:rPr>
                <w:rFonts w:hint="default" w:eastAsia="宋体" w:cs="Times New Roman"/>
                <w:color w:val="auto"/>
                <w:sz w:val="24"/>
                <w:szCs w:val="24"/>
                <w:lang w:val="en-US" w:eastAsia="zh-CN"/>
              </w:rPr>
              <w:t>病人监护仪</w:t>
            </w:r>
          </w:p>
        </w:tc>
        <w:tc>
          <w:tcPr>
            <w:tcW w:w="6401" w:type="dxa"/>
            <w:shd w:val="clear" w:color="auto" w:fill="auto"/>
            <w:vAlign w:val="center"/>
          </w:tcPr>
          <w:p w14:paraId="54D635E5">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hint="default" w:ascii="Times New Roman" w:hAnsi="Times New Roman" w:eastAsia="宋体" w:cs="Times New Roman"/>
                <w:iCs/>
                <w:color w:val="auto"/>
                <w:sz w:val="24"/>
                <w:szCs w:val="24"/>
                <w:lang w:val="en-US" w:eastAsia="zh-CN" w:bidi="ar-SA"/>
              </w:rPr>
            </w:pPr>
            <w:r>
              <w:rPr>
                <w:rFonts w:hint="default" w:eastAsia="宋体" w:cs="Times New Roman"/>
                <w:color w:val="auto"/>
                <w:sz w:val="24"/>
                <w:szCs w:val="24"/>
                <w:lang w:val="en-US" w:eastAsia="zh-CN"/>
              </w:rPr>
              <w:t>BeneVision N系列监护仪，不仅具备完善的参数监测及波形显示和报警，同时具备了围绕病人生命体征状态变化进行监测、评估和预警的系统，帮助临床全面提升诊疗效率及质量，为临床提供高效便捷的临床辅助决策应用。包括脑电，脑氧，镇静深度和肌松深度等神经系统监测；PICC，漂浮导管，flotrac等血流动力学监测；二氧化碳，麻醉气体，能量代谢等临床呼吸代谢指标监测等。以及血流动力学、麻醉平衡、神经系统和药物生命体征联动等系统层面的辅助决策功能。覆盖了临床急危重症和麻醉患者的主要监测功能需求。</w:t>
            </w:r>
          </w:p>
        </w:tc>
      </w:tr>
      <w:tr w14:paraId="36724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129" w:type="dxa"/>
            <w:shd w:val="clear" w:color="auto" w:fill="auto"/>
            <w:vAlign w:val="center"/>
          </w:tcPr>
          <w:p w14:paraId="63776FA2">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center"/>
              <w:textAlignment w:val="auto"/>
              <w:rPr>
                <w:rFonts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cs="Times New Roman"/>
                <w:color w:val="auto"/>
                <w:sz w:val="24"/>
                <w:szCs w:val="24"/>
              </w:rPr>
              <w:t>43</w:t>
            </w:r>
          </w:p>
        </w:tc>
        <w:tc>
          <w:tcPr>
            <w:tcW w:w="1418" w:type="dxa"/>
            <w:shd w:val="clear" w:color="auto" w:fill="auto"/>
            <w:vAlign w:val="center"/>
          </w:tcPr>
          <w:p w14:paraId="7FB245CF">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hint="default" w:eastAsia="宋体" w:cs="Times New Roman"/>
                <w:color w:val="auto"/>
                <w:sz w:val="24"/>
                <w:szCs w:val="24"/>
              </w:rPr>
            </w:pPr>
          </w:p>
          <w:p w14:paraId="268795A9">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both"/>
              <w:textAlignment w:val="auto"/>
              <w:rPr>
                <w:rFonts w:hint="default" w:eastAsia="宋体" w:cs="Times New Roman"/>
                <w:color w:val="auto"/>
                <w:sz w:val="24"/>
                <w:szCs w:val="24"/>
              </w:rPr>
            </w:pPr>
            <w:r>
              <w:rPr>
                <w:rFonts w:hint="default" w:eastAsia="宋体" w:cs="Times New Roman"/>
                <w:color w:val="auto"/>
                <w:sz w:val="24"/>
                <w:szCs w:val="24"/>
              </w:rPr>
              <w:t>腔镜系统</w:t>
            </w:r>
          </w:p>
          <w:p w14:paraId="4AD036D1">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hint="default" w:ascii="Times New Roman" w:hAnsi="Times New Roman" w:eastAsia="宋体" w:cs="Times New Roman"/>
                <w:iCs/>
                <w:color w:val="auto"/>
                <w:sz w:val="24"/>
                <w:szCs w:val="24"/>
                <w:lang w:val="en-US" w:eastAsia="zh-CN" w:bidi="ar-SA"/>
              </w:rPr>
            </w:pPr>
          </w:p>
        </w:tc>
        <w:tc>
          <w:tcPr>
            <w:tcW w:w="6401" w:type="dxa"/>
            <w:shd w:val="clear" w:color="auto" w:fill="auto"/>
            <w:vAlign w:val="center"/>
          </w:tcPr>
          <w:p w14:paraId="3928E3C7">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hint="default" w:ascii="Times New Roman" w:hAnsi="Times New Roman" w:eastAsia="宋体" w:cs="Times New Roman"/>
                <w:iCs/>
                <w:color w:val="auto"/>
                <w:sz w:val="24"/>
                <w:szCs w:val="24"/>
                <w:lang w:val="en-US" w:eastAsia="zh-CN" w:bidi="ar-SA"/>
              </w:rPr>
            </w:pPr>
            <w:r>
              <w:rPr>
                <w:rFonts w:hint="default" w:eastAsia="宋体" w:cs="Times New Roman"/>
                <w:color w:val="auto"/>
                <w:sz w:val="24"/>
                <w:szCs w:val="24"/>
              </w:rPr>
              <w:t>UX7:最新一代4K荧光3D三合一医学影像平台UX7，凭借4K超高清分辨率，助力外科医生辨识邻近组织的细微结构和色彩差异；通过荧光染色剂的nmol级灵敏度，精确标识特定病灶和靶区，确保病灶边缘的清晰与稳定；此外，该医学影像平台支持直接更换3D内窥镜以升级3D功能，为使用者带来如3D电影般的沉浸式体验。</w:t>
            </w:r>
          </w:p>
        </w:tc>
      </w:tr>
      <w:tr w14:paraId="17698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129" w:type="dxa"/>
            <w:shd w:val="clear" w:color="auto" w:fill="auto"/>
            <w:vAlign w:val="center"/>
          </w:tcPr>
          <w:p w14:paraId="31447471">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center"/>
              <w:textAlignment w:val="auto"/>
              <w:rPr>
                <w:rFonts w:ascii="Times New Roman" w:hAnsi="Times New Roman" w:eastAsia="宋体" w:cs="Times New Roman"/>
                <w:iCs/>
                <w:color w:val="000000" w:themeColor="text1"/>
                <w:sz w:val="24"/>
                <w:szCs w:val="24"/>
                <w:lang w:val="en-US" w:eastAsia="zh-CN" w:bidi="ar-SA"/>
                <w14:textFill>
                  <w14:solidFill>
                    <w14:schemeClr w14:val="tx1"/>
                  </w14:solidFill>
                </w14:textFill>
              </w:rPr>
            </w:pPr>
            <w:r>
              <w:rPr>
                <w:rFonts w:hint="default" w:cs="Times New Roman"/>
                <w:color w:val="auto"/>
                <w:sz w:val="24"/>
                <w:szCs w:val="24"/>
              </w:rPr>
              <w:t>44</w:t>
            </w:r>
          </w:p>
        </w:tc>
        <w:tc>
          <w:tcPr>
            <w:tcW w:w="1418" w:type="dxa"/>
            <w:shd w:val="clear" w:color="auto" w:fill="auto"/>
            <w:vAlign w:val="center"/>
          </w:tcPr>
          <w:p w14:paraId="6F07DD9D">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hint="default" w:ascii="Times New Roman" w:hAnsi="Times New Roman" w:eastAsia="宋体" w:cs="Times New Roman"/>
                <w:iCs/>
                <w:color w:val="auto"/>
                <w:sz w:val="24"/>
                <w:szCs w:val="24"/>
                <w:lang w:val="en-US" w:eastAsia="zh-CN" w:bidi="ar-SA"/>
              </w:rPr>
            </w:pPr>
            <w:r>
              <w:rPr>
                <w:rFonts w:hint="default" w:eastAsia="宋体" w:cs="Times New Roman"/>
                <w:color w:val="auto"/>
                <w:sz w:val="24"/>
                <w:szCs w:val="24"/>
              </w:rPr>
              <w:t>能量平台</w:t>
            </w:r>
          </w:p>
        </w:tc>
        <w:tc>
          <w:tcPr>
            <w:tcW w:w="6401" w:type="dxa"/>
            <w:shd w:val="clear" w:color="auto" w:fill="auto"/>
            <w:vAlign w:val="top"/>
          </w:tcPr>
          <w:p w14:paraId="2372A890">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hint="default" w:ascii="Times New Roman" w:hAnsi="Times New Roman" w:eastAsia="宋体" w:cs="Times New Roman"/>
                <w:iCs/>
                <w:color w:val="auto"/>
                <w:sz w:val="24"/>
                <w:szCs w:val="24"/>
                <w:lang w:val="en-US" w:eastAsia="zh-CN" w:bidi="ar-SA"/>
              </w:rPr>
            </w:pPr>
            <w:r>
              <w:rPr>
                <w:rFonts w:hint="default" w:eastAsia="宋体" w:cs="Times New Roman"/>
                <w:color w:val="auto"/>
                <w:sz w:val="24"/>
                <w:szCs w:val="24"/>
              </w:rPr>
              <w:t>超声高频集成手术设备UP700系列是超声刀和电刀的集成平台，即支持同时连接超声、单极、双极、智能双极等多种器械，可大幅节省手术室空间，降低设备维护成本，针对手术室能量设备操作不互通，复杂的特点，通过扁平化菜单设计，免学习交互界面，易于操作，有效降低学习成本。且具备STS智慧组织感应技术，实时能量补偿技术，确保应对强韧组织，切割依旧高效，使得主机性能稳定如一，也可根据组织特性精准调控能量输出。</w:t>
            </w:r>
          </w:p>
        </w:tc>
      </w:tr>
      <w:tr w14:paraId="568097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129" w:type="dxa"/>
            <w:shd w:val="clear" w:color="auto" w:fill="auto"/>
            <w:vAlign w:val="center"/>
          </w:tcPr>
          <w:p w14:paraId="54920027">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center"/>
              <w:textAlignment w:val="auto"/>
              <w:rPr>
                <w:rFonts w:ascii="Times New Roman" w:hAnsi="Times New Roman" w:eastAsia="宋体" w:cs="Times New Roman"/>
                <w:iCs/>
                <w:color w:val="auto"/>
                <w:sz w:val="24"/>
                <w:szCs w:val="24"/>
                <w:lang w:val="en-US" w:eastAsia="zh-CN" w:bidi="ar-SA"/>
              </w:rPr>
            </w:pPr>
            <w:r>
              <w:rPr>
                <w:rFonts w:hint="default" w:cs="Times New Roman"/>
                <w:color w:val="auto"/>
                <w:sz w:val="24"/>
                <w:szCs w:val="24"/>
              </w:rPr>
              <w:t>45</w:t>
            </w:r>
          </w:p>
        </w:tc>
        <w:tc>
          <w:tcPr>
            <w:tcW w:w="1418" w:type="dxa"/>
            <w:shd w:val="clear" w:color="auto" w:fill="auto"/>
            <w:vAlign w:val="center"/>
          </w:tcPr>
          <w:p w14:paraId="3048C6A6">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hint="default" w:ascii="Times New Roman" w:hAnsi="Times New Roman" w:eastAsia="宋体" w:cs="Times New Roman"/>
                <w:iCs/>
                <w:color w:val="auto"/>
                <w:sz w:val="24"/>
                <w:szCs w:val="24"/>
                <w:lang w:val="en-US" w:eastAsia="zh-CN" w:bidi="ar-SA"/>
              </w:rPr>
            </w:pPr>
            <w:r>
              <w:rPr>
                <w:rFonts w:hint="default" w:eastAsia="宋体" w:cs="Times New Roman"/>
                <w:color w:val="auto"/>
                <w:sz w:val="24"/>
                <w:szCs w:val="24"/>
              </w:rPr>
              <w:t>超声刀头</w:t>
            </w:r>
          </w:p>
        </w:tc>
        <w:tc>
          <w:tcPr>
            <w:tcW w:w="6401" w:type="dxa"/>
            <w:shd w:val="clear" w:color="auto" w:fill="auto"/>
            <w:vAlign w:val="top"/>
          </w:tcPr>
          <w:p w14:paraId="6FFFA11C">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hint="default" w:ascii="Times New Roman" w:hAnsi="Times New Roman" w:eastAsia="宋体" w:cs="Times New Roman"/>
                <w:iCs/>
                <w:color w:val="auto"/>
                <w:sz w:val="24"/>
                <w:szCs w:val="24"/>
                <w:lang w:val="en-US" w:eastAsia="zh-CN" w:bidi="ar-SA"/>
              </w:rPr>
            </w:pPr>
            <w:r>
              <w:rPr>
                <w:rFonts w:hint="default" w:eastAsia="宋体" w:cs="Times New Roman"/>
                <w:color w:val="auto"/>
                <w:sz w:val="24"/>
                <w:szCs w:val="24"/>
              </w:rPr>
              <w:t>超声高频专用超声刀头PC系列更适用于手术的精细解剖，</w:t>
            </w:r>
            <w:r>
              <w:rPr>
                <w:rFonts w:hint="eastAsia" w:cs="Times New Roman"/>
                <w:color w:val="auto"/>
                <w:sz w:val="24"/>
                <w:szCs w:val="24"/>
                <w:lang w:val="en-US" w:eastAsia="zh-CN"/>
              </w:rPr>
              <w:t>有助于</w:t>
            </w:r>
            <w:r>
              <w:rPr>
                <w:rFonts w:hint="default" w:eastAsia="宋体" w:cs="Times New Roman"/>
                <w:color w:val="auto"/>
                <w:sz w:val="24"/>
                <w:szCs w:val="24"/>
              </w:rPr>
              <w:t>淋巴结清扫、血管游离等精细操作。</w:t>
            </w:r>
          </w:p>
        </w:tc>
      </w:tr>
      <w:tr w14:paraId="03CF7B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1129" w:type="dxa"/>
            <w:shd w:val="clear" w:color="auto" w:fill="auto"/>
            <w:vAlign w:val="center"/>
          </w:tcPr>
          <w:p w14:paraId="43F945D8">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center"/>
              <w:textAlignment w:val="auto"/>
              <w:rPr>
                <w:rFonts w:hint="default" w:ascii="Times New Roman" w:hAnsi="Times New Roman" w:eastAsia="宋体" w:cs="Times New Roman"/>
                <w:iCs/>
                <w:color w:val="auto"/>
                <w:sz w:val="24"/>
                <w:szCs w:val="24"/>
                <w:lang w:val="en-US" w:eastAsia="zh-CN" w:bidi="ar-SA"/>
              </w:rPr>
            </w:pPr>
            <w:r>
              <w:rPr>
                <w:rFonts w:hint="default" w:cs="Times New Roman"/>
                <w:color w:val="auto"/>
                <w:sz w:val="24"/>
                <w:szCs w:val="24"/>
              </w:rPr>
              <w:t>46</w:t>
            </w:r>
          </w:p>
        </w:tc>
        <w:tc>
          <w:tcPr>
            <w:tcW w:w="1418" w:type="dxa"/>
            <w:shd w:val="clear" w:color="auto" w:fill="auto"/>
            <w:vAlign w:val="center"/>
          </w:tcPr>
          <w:p w14:paraId="07CA345E">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hint="default" w:ascii="Times New Roman" w:hAnsi="Times New Roman" w:eastAsia="宋体" w:cs="Times New Roman"/>
                <w:iCs/>
                <w:color w:val="auto"/>
                <w:sz w:val="24"/>
                <w:szCs w:val="24"/>
                <w:lang w:val="en-US" w:eastAsia="zh-CN" w:bidi="ar-SA"/>
              </w:rPr>
            </w:pPr>
            <w:r>
              <w:rPr>
                <w:rFonts w:hint="default" w:eastAsia="宋体" w:cs="Times New Roman"/>
                <w:color w:val="auto"/>
                <w:sz w:val="24"/>
                <w:szCs w:val="24"/>
              </w:rPr>
              <w:t>腔镜吻合器</w:t>
            </w:r>
          </w:p>
        </w:tc>
        <w:tc>
          <w:tcPr>
            <w:tcW w:w="6401" w:type="dxa"/>
            <w:shd w:val="clear" w:color="auto" w:fill="auto"/>
            <w:vAlign w:val="top"/>
          </w:tcPr>
          <w:p w14:paraId="006E58ED">
            <w:pPr>
              <w:keepNext w:val="0"/>
              <w:keepLines w:val="0"/>
              <w:pageBreakBefore w:val="0"/>
              <w:widowControl/>
              <w:kinsoku/>
              <w:wordWrap/>
              <w:overflowPunct/>
              <w:topLinePunct w:val="0"/>
              <w:autoSpaceDE/>
              <w:autoSpaceDN/>
              <w:bidi w:val="0"/>
              <w:adjustRightInd/>
              <w:snapToGrid/>
              <w:spacing w:before="0" w:after="0" w:line="240" w:lineRule="auto"/>
              <w:ind w:firstLine="0" w:firstLineChars="0"/>
              <w:jc w:val="left"/>
              <w:textAlignment w:val="auto"/>
              <w:rPr>
                <w:rFonts w:hint="default" w:ascii="Times New Roman" w:hAnsi="Times New Roman" w:eastAsia="宋体" w:cs="Times New Roman"/>
                <w:iCs/>
                <w:color w:val="auto"/>
                <w:sz w:val="24"/>
                <w:szCs w:val="24"/>
                <w:lang w:val="en-US" w:eastAsia="zh-CN" w:bidi="ar-SA"/>
              </w:rPr>
            </w:pPr>
            <w:r>
              <w:rPr>
                <w:rFonts w:hint="default" w:eastAsia="宋体" w:cs="Times New Roman"/>
                <w:color w:val="auto"/>
                <w:sz w:val="24"/>
                <w:szCs w:val="24"/>
              </w:rPr>
              <w:t>电动腔镜吻合器PS31/PS20/192-EQ系列，通过芯片，根据组织的硬度、厚度自适应调节击发速度和成钉力，实现更高成钉良率，尤其针对厚组织有更好的成钉效果。PS31/192-EQ21/MS31/191-EQ21系列具有可拆卸鹰嘴，适用于多种狭窄空间置入如血管离断场景。</w:t>
            </w:r>
          </w:p>
        </w:tc>
      </w:tr>
    </w:tbl>
    <w:p w14:paraId="6BF5C215">
      <w:pPr>
        <w:pStyle w:val="3"/>
        <w:numPr>
          <w:ilvl w:val="0"/>
          <w:numId w:val="0"/>
        </w:numPr>
        <w:spacing w:beforeLines="0" w:line="360" w:lineRule="auto"/>
        <w:ind w:firstLine="643" w:firstLineChars="200"/>
        <w:rPr>
          <w:rFonts w:hint="eastAsia" w:ascii="宋体" w:hAnsi="宋体" w:eastAsia="宋体" w:cs="宋体"/>
          <w:b/>
          <w:bCs/>
          <w:color w:val="auto"/>
          <w:sz w:val="32"/>
          <w:szCs w:val="32"/>
        </w:rPr>
      </w:pPr>
      <w:r>
        <w:rPr>
          <w:rFonts w:hint="eastAsia" w:ascii="宋体" w:hAnsi="宋体" w:eastAsia="宋体" w:cs="宋体"/>
          <w:b/>
          <w:bCs/>
          <w:color w:val="auto"/>
          <w:sz w:val="32"/>
          <w:szCs w:val="32"/>
        </w:rPr>
        <w:t>四、课题申报说明</w:t>
      </w:r>
    </w:p>
    <w:p w14:paraId="2B73FD43">
      <w:pPr>
        <w:pStyle w:val="3"/>
        <w:numPr>
          <w:ilvl w:val="0"/>
          <w:numId w:val="0"/>
        </w:numPr>
        <w:spacing w:beforeLines="0" w:line="360" w:lineRule="auto"/>
        <w:ind w:firstLine="560" w:firstLineChars="200"/>
        <w:rPr>
          <w:rFonts w:eastAsia="宋体"/>
          <w:b w:val="0"/>
          <w:bCs w:val="0"/>
          <w:color w:val="auto"/>
          <w:sz w:val="28"/>
          <w:szCs w:val="28"/>
        </w:rPr>
      </w:pPr>
      <w:r>
        <w:rPr>
          <w:rFonts w:hint="eastAsia" w:eastAsia="宋体"/>
          <w:b w:val="0"/>
          <w:bCs w:val="0"/>
          <w:color w:val="auto"/>
          <w:sz w:val="28"/>
          <w:szCs w:val="28"/>
        </w:rPr>
        <w:t>1.申请人须仔细阅读申请指南，按照指南详细填写申请书，填写不合要求的课题会按照格式不符合要求处理。</w:t>
      </w:r>
    </w:p>
    <w:p w14:paraId="6FFBDE6E">
      <w:pPr>
        <w:pStyle w:val="3"/>
        <w:numPr>
          <w:ilvl w:val="0"/>
          <w:numId w:val="0"/>
        </w:numPr>
        <w:spacing w:beforeLines="0" w:line="360" w:lineRule="auto"/>
        <w:ind w:firstLine="560" w:firstLineChars="200"/>
        <w:rPr>
          <w:rFonts w:eastAsia="宋体"/>
          <w:b w:val="0"/>
          <w:bCs w:val="0"/>
          <w:color w:val="auto"/>
          <w:sz w:val="28"/>
          <w:szCs w:val="28"/>
        </w:rPr>
      </w:pPr>
      <w:r>
        <w:rPr>
          <w:rFonts w:hint="eastAsia" w:eastAsia="宋体"/>
          <w:b w:val="0"/>
          <w:bCs w:val="0"/>
          <w:color w:val="auto"/>
          <w:sz w:val="28"/>
          <w:szCs w:val="28"/>
        </w:rPr>
        <w:t>2.请各课题申请人按要求填写申请书（申请书中手机和邮箱必须填写），加盖学校公章及签字后扫描上传至：</w:t>
      </w:r>
      <w:r>
        <w:rPr>
          <w:rFonts w:eastAsia="宋体"/>
          <w:bCs w:val="0"/>
          <w:color w:val="auto"/>
          <w:sz w:val="28"/>
          <w:szCs w:val="28"/>
        </w:rPr>
        <w:t>http://cxjj.cutech.edu.cn</w:t>
      </w:r>
      <w:r>
        <w:rPr>
          <w:rFonts w:hint="eastAsia" w:eastAsia="宋体"/>
          <w:b w:val="0"/>
          <w:bCs w:val="0"/>
          <w:color w:val="auto"/>
          <w:sz w:val="28"/>
          <w:szCs w:val="28"/>
        </w:rPr>
        <w:t>；为方便评审，申请书扫描件请按以下命名规则命名：学校名称+申请人姓名。</w:t>
      </w:r>
    </w:p>
    <w:p w14:paraId="5715E3B2">
      <w:pPr>
        <w:pStyle w:val="3"/>
        <w:numPr>
          <w:ilvl w:val="0"/>
          <w:numId w:val="0"/>
        </w:numPr>
        <w:spacing w:beforeLines="0" w:line="360" w:lineRule="auto"/>
        <w:ind w:firstLine="560" w:firstLineChars="200"/>
        <w:rPr>
          <w:rFonts w:eastAsia="宋体"/>
          <w:b w:val="0"/>
          <w:bCs w:val="0"/>
          <w:color w:val="auto"/>
          <w:sz w:val="28"/>
          <w:szCs w:val="28"/>
        </w:rPr>
      </w:pPr>
      <w:r>
        <w:rPr>
          <w:rFonts w:hint="eastAsia" w:eastAsia="宋体"/>
          <w:b w:val="0"/>
          <w:bCs w:val="0"/>
          <w:color w:val="auto"/>
          <w:sz w:val="28"/>
          <w:szCs w:val="28"/>
        </w:rPr>
        <w:t>3.申请截止时间为202</w:t>
      </w:r>
      <w:r>
        <w:rPr>
          <w:rFonts w:hint="eastAsia" w:eastAsia="宋体"/>
          <w:b w:val="0"/>
          <w:bCs w:val="0"/>
          <w:color w:val="auto"/>
          <w:sz w:val="28"/>
          <w:szCs w:val="28"/>
          <w:lang w:val="en-US" w:eastAsia="zh-CN"/>
        </w:rPr>
        <w:t>5</w:t>
      </w:r>
      <w:r>
        <w:rPr>
          <w:rFonts w:hint="eastAsia" w:eastAsia="宋体"/>
          <w:b w:val="0"/>
          <w:bCs w:val="0"/>
          <w:color w:val="auto"/>
          <w:sz w:val="28"/>
          <w:szCs w:val="28"/>
        </w:rPr>
        <w:t>年</w:t>
      </w:r>
      <w:r>
        <w:rPr>
          <w:rFonts w:hint="eastAsia" w:eastAsia="宋体"/>
          <w:b w:val="0"/>
          <w:bCs w:val="0"/>
          <w:color w:val="auto"/>
          <w:sz w:val="28"/>
          <w:szCs w:val="28"/>
          <w:lang w:val="en-US" w:eastAsia="zh-CN"/>
        </w:rPr>
        <w:t>10</w:t>
      </w:r>
      <w:r>
        <w:rPr>
          <w:rFonts w:hint="eastAsia" w:eastAsia="宋体"/>
          <w:b w:val="0"/>
          <w:bCs w:val="0"/>
          <w:color w:val="auto"/>
          <w:sz w:val="28"/>
          <w:szCs w:val="28"/>
        </w:rPr>
        <w:t>月3</w:t>
      </w:r>
      <w:r>
        <w:rPr>
          <w:rFonts w:hint="eastAsia" w:eastAsia="宋体"/>
          <w:b w:val="0"/>
          <w:bCs w:val="0"/>
          <w:color w:val="auto"/>
          <w:sz w:val="28"/>
          <w:szCs w:val="28"/>
          <w:lang w:val="en-US" w:eastAsia="zh-CN"/>
        </w:rPr>
        <w:t>1</w:t>
      </w:r>
      <w:r>
        <w:rPr>
          <w:rFonts w:hint="eastAsia" w:eastAsia="宋体"/>
          <w:b w:val="0"/>
          <w:bCs w:val="0"/>
          <w:color w:val="auto"/>
          <w:sz w:val="28"/>
          <w:szCs w:val="28"/>
        </w:rPr>
        <w:t>日。</w:t>
      </w:r>
    </w:p>
    <w:p w14:paraId="46C31133">
      <w:pPr>
        <w:pStyle w:val="3"/>
        <w:numPr>
          <w:ilvl w:val="0"/>
          <w:numId w:val="0"/>
        </w:numPr>
        <w:spacing w:beforeLines="0" w:line="360" w:lineRule="auto"/>
        <w:ind w:firstLine="560" w:firstLineChars="200"/>
        <w:rPr>
          <w:rFonts w:eastAsia="宋体"/>
          <w:b w:val="0"/>
          <w:bCs w:val="0"/>
          <w:color w:val="auto"/>
          <w:sz w:val="28"/>
          <w:szCs w:val="28"/>
        </w:rPr>
      </w:pPr>
      <w:r>
        <w:rPr>
          <w:rFonts w:hint="eastAsia" w:eastAsia="宋体"/>
          <w:b w:val="0"/>
          <w:bCs w:val="0"/>
          <w:color w:val="auto"/>
          <w:sz w:val="28"/>
          <w:szCs w:val="28"/>
        </w:rPr>
        <w:t>4.课题的计划执行时间为202</w:t>
      </w:r>
      <w:r>
        <w:rPr>
          <w:rFonts w:hint="eastAsia" w:eastAsia="宋体"/>
          <w:b w:val="0"/>
          <w:bCs w:val="0"/>
          <w:color w:val="auto"/>
          <w:sz w:val="28"/>
          <w:szCs w:val="28"/>
          <w:lang w:val="en-US" w:eastAsia="zh-CN"/>
        </w:rPr>
        <w:t>6</w:t>
      </w:r>
      <w:r>
        <w:rPr>
          <w:rFonts w:hint="eastAsia" w:eastAsia="宋体"/>
          <w:b w:val="0"/>
          <w:bCs w:val="0"/>
          <w:color w:val="auto"/>
          <w:sz w:val="28"/>
          <w:szCs w:val="28"/>
        </w:rPr>
        <w:t>年</w:t>
      </w:r>
      <w:r>
        <w:rPr>
          <w:rFonts w:hint="eastAsia" w:eastAsia="宋体"/>
          <w:b w:val="0"/>
          <w:bCs w:val="0"/>
          <w:color w:val="auto"/>
          <w:sz w:val="28"/>
          <w:szCs w:val="28"/>
          <w:lang w:val="en-US" w:eastAsia="zh-CN"/>
        </w:rPr>
        <w:t>1</w:t>
      </w:r>
      <w:r>
        <w:rPr>
          <w:rFonts w:hint="eastAsia" w:eastAsia="宋体"/>
          <w:b w:val="0"/>
          <w:bCs w:val="0"/>
          <w:color w:val="auto"/>
          <w:sz w:val="28"/>
          <w:szCs w:val="28"/>
        </w:rPr>
        <w:t>月1日～202</w:t>
      </w:r>
      <w:r>
        <w:rPr>
          <w:rFonts w:hint="eastAsia" w:eastAsia="宋体"/>
          <w:b w:val="0"/>
          <w:bCs w:val="0"/>
          <w:color w:val="auto"/>
          <w:sz w:val="28"/>
          <w:szCs w:val="28"/>
          <w:lang w:val="en-US" w:eastAsia="zh-CN"/>
        </w:rPr>
        <w:t>6</w:t>
      </w:r>
      <w:r>
        <w:rPr>
          <w:rFonts w:hint="eastAsia" w:eastAsia="宋体"/>
          <w:b w:val="0"/>
          <w:bCs w:val="0"/>
          <w:color w:val="auto"/>
          <w:sz w:val="28"/>
          <w:szCs w:val="28"/>
        </w:rPr>
        <w:t>年</w:t>
      </w:r>
      <w:r>
        <w:rPr>
          <w:rFonts w:hint="eastAsia" w:eastAsia="宋体"/>
          <w:b w:val="0"/>
          <w:bCs w:val="0"/>
          <w:color w:val="auto"/>
          <w:sz w:val="28"/>
          <w:szCs w:val="28"/>
          <w:lang w:val="en-US" w:eastAsia="zh-CN"/>
        </w:rPr>
        <w:t>12</w:t>
      </w:r>
      <w:r>
        <w:rPr>
          <w:rFonts w:hint="eastAsia" w:eastAsia="宋体"/>
          <w:b w:val="0"/>
          <w:bCs w:val="0"/>
          <w:color w:val="auto"/>
          <w:sz w:val="28"/>
          <w:szCs w:val="28"/>
        </w:rPr>
        <w:t>月3</w:t>
      </w:r>
      <w:r>
        <w:rPr>
          <w:rFonts w:hint="eastAsia" w:eastAsia="宋体"/>
          <w:b w:val="0"/>
          <w:bCs w:val="0"/>
          <w:color w:val="auto"/>
          <w:sz w:val="28"/>
          <w:szCs w:val="28"/>
          <w:lang w:val="en-US" w:eastAsia="zh-CN"/>
        </w:rPr>
        <w:t>1</w:t>
      </w:r>
      <w:r>
        <w:rPr>
          <w:rFonts w:hint="eastAsia" w:eastAsia="宋体"/>
          <w:b w:val="0"/>
          <w:bCs w:val="0"/>
          <w:color w:val="auto"/>
          <w:sz w:val="28"/>
          <w:szCs w:val="28"/>
        </w:rPr>
        <w:t>日。</w:t>
      </w:r>
    </w:p>
    <w:p w14:paraId="7B089263">
      <w:pPr>
        <w:pStyle w:val="3"/>
        <w:numPr>
          <w:ilvl w:val="0"/>
          <w:numId w:val="0"/>
        </w:numPr>
        <w:spacing w:beforeLines="0" w:line="360" w:lineRule="auto"/>
        <w:ind w:firstLine="560" w:firstLineChars="200"/>
        <w:rPr>
          <w:rFonts w:eastAsia="宋体"/>
          <w:b w:val="0"/>
          <w:bCs w:val="0"/>
          <w:color w:val="auto"/>
          <w:sz w:val="28"/>
          <w:szCs w:val="28"/>
        </w:rPr>
      </w:pPr>
      <w:r>
        <w:rPr>
          <w:rFonts w:hint="eastAsia" w:eastAsia="宋体"/>
          <w:b w:val="0"/>
          <w:bCs w:val="0"/>
          <w:color w:val="auto"/>
          <w:sz w:val="28"/>
          <w:szCs w:val="28"/>
        </w:rPr>
        <w:t>5.课题选题列表上的选题方向都不限定课题数量，但是如果存在内容重复的相似课题，专家组将根据课题组技术积累、课题方案、课题支撑条件等要素择优选择立项课题。</w:t>
      </w:r>
    </w:p>
    <w:p w14:paraId="766CE5BA">
      <w:pPr>
        <w:pStyle w:val="3"/>
        <w:numPr>
          <w:ilvl w:val="0"/>
          <w:numId w:val="0"/>
        </w:numPr>
        <w:spacing w:beforeLines="0" w:line="360" w:lineRule="auto"/>
        <w:ind w:firstLine="560" w:firstLineChars="200"/>
        <w:rPr>
          <w:rFonts w:eastAsia="宋体"/>
          <w:b w:val="0"/>
          <w:bCs w:val="0"/>
          <w:color w:val="auto"/>
          <w:sz w:val="28"/>
          <w:szCs w:val="28"/>
        </w:rPr>
      </w:pPr>
      <w:r>
        <w:rPr>
          <w:rFonts w:hint="eastAsia" w:eastAsia="宋体"/>
          <w:b w:val="0"/>
          <w:bCs w:val="0"/>
          <w:color w:val="auto"/>
          <w:sz w:val="28"/>
          <w:szCs w:val="28"/>
        </w:rPr>
        <w:t>6.如果以联合课题组的形式申请课题，需要列明不同单位的课题任务。</w:t>
      </w:r>
    </w:p>
    <w:p w14:paraId="1CD99FA1">
      <w:pPr>
        <w:pStyle w:val="3"/>
        <w:numPr>
          <w:ilvl w:val="0"/>
          <w:numId w:val="0"/>
        </w:numPr>
        <w:spacing w:beforeLines="0" w:line="360" w:lineRule="auto"/>
        <w:ind w:firstLine="560" w:firstLineChars="200"/>
        <w:rPr>
          <w:rFonts w:eastAsia="宋体"/>
          <w:b w:val="0"/>
          <w:color w:val="auto"/>
          <w:sz w:val="28"/>
          <w:szCs w:val="28"/>
        </w:rPr>
      </w:pPr>
      <w:r>
        <w:rPr>
          <w:rFonts w:hint="eastAsia" w:eastAsia="宋体"/>
          <w:b w:val="0"/>
          <w:color w:val="auto"/>
          <w:sz w:val="28"/>
          <w:szCs w:val="28"/>
        </w:rPr>
        <w:t>7.课题申请人无需向支持企业额外购买配套设备</w:t>
      </w:r>
      <w:r>
        <w:rPr>
          <w:rFonts w:eastAsia="宋体"/>
          <w:b w:val="0"/>
          <w:color w:val="auto"/>
          <w:sz w:val="28"/>
          <w:szCs w:val="28"/>
        </w:rPr>
        <w:t>、产品</w:t>
      </w:r>
      <w:r>
        <w:rPr>
          <w:rFonts w:hint="eastAsia" w:eastAsia="宋体"/>
          <w:b w:val="0"/>
          <w:color w:val="auto"/>
          <w:sz w:val="28"/>
          <w:szCs w:val="28"/>
        </w:rPr>
        <w:t>或软件。</w:t>
      </w:r>
    </w:p>
    <w:p w14:paraId="3EEAF881">
      <w:pPr>
        <w:pStyle w:val="3"/>
        <w:numPr>
          <w:ilvl w:val="0"/>
          <w:numId w:val="0"/>
        </w:numPr>
        <w:spacing w:beforeLines="0" w:line="360" w:lineRule="auto"/>
        <w:ind w:firstLine="643" w:firstLineChars="200"/>
        <w:rPr>
          <w:rFonts w:hint="eastAsia" w:ascii="宋体" w:hAnsi="宋体" w:eastAsia="宋体" w:cs="宋体"/>
          <w:b/>
          <w:bCs/>
          <w:color w:val="auto"/>
          <w:sz w:val="32"/>
          <w:szCs w:val="32"/>
        </w:rPr>
      </w:pPr>
      <w:r>
        <w:rPr>
          <w:rFonts w:hint="eastAsia" w:ascii="宋体" w:hAnsi="宋体" w:eastAsia="宋体" w:cs="宋体"/>
          <w:b/>
          <w:bCs/>
          <w:color w:val="auto"/>
          <w:sz w:val="32"/>
          <w:szCs w:val="32"/>
        </w:rPr>
        <w:t>五、联系人及联系方式</w:t>
      </w:r>
    </w:p>
    <w:p w14:paraId="366BFDA0">
      <w:pPr>
        <w:spacing w:before="0" w:after="0" w:line="360" w:lineRule="auto"/>
        <w:ind w:firstLine="661" w:firstLineChars="235"/>
        <w:rPr>
          <w:color w:val="auto"/>
          <w:sz w:val="28"/>
          <w:szCs w:val="28"/>
        </w:rPr>
      </w:pPr>
      <w:r>
        <w:rPr>
          <w:rFonts w:hint="eastAsia"/>
          <w:b/>
          <w:color w:val="auto"/>
          <w:sz w:val="28"/>
          <w:szCs w:val="28"/>
        </w:rPr>
        <w:t>教育部高等</w:t>
      </w:r>
      <w:r>
        <w:rPr>
          <w:b/>
          <w:color w:val="auto"/>
          <w:sz w:val="28"/>
          <w:szCs w:val="28"/>
        </w:rPr>
        <w:t>学校科学研究发展中心</w:t>
      </w:r>
    </w:p>
    <w:p w14:paraId="7F9108F6">
      <w:pPr>
        <w:spacing w:before="0" w:after="0" w:line="360" w:lineRule="auto"/>
        <w:ind w:firstLine="658" w:firstLineChars="235"/>
        <w:jc w:val="left"/>
        <w:rPr>
          <w:color w:val="auto"/>
          <w:sz w:val="28"/>
          <w:szCs w:val="28"/>
        </w:rPr>
      </w:pPr>
      <w:r>
        <w:rPr>
          <w:rFonts w:hint="eastAsia"/>
          <w:color w:val="auto"/>
          <w:sz w:val="28"/>
          <w:szCs w:val="28"/>
        </w:rPr>
        <w:t>基金申报</w:t>
      </w:r>
      <w:r>
        <w:rPr>
          <w:color w:val="auto"/>
          <w:sz w:val="28"/>
          <w:szCs w:val="28"/>
        </w:rPr>
        <w:t>：</w:t>
      </w:r>
      <w:r>
        <w:rPr>
          <w:rFonts w:hint="eastAsia"/>
          <w:color w:val="auto"/>
          <w:sz w:val="28"/>
          <w:szCs w:val="28"/>
        </w:rPr>
        <w:t>赵艳玲</w:t>
      </w:r>
      <w:r>
        <w:rPr>
          <w:color w:val="auto"/>
          <w:sz w:val="28"/>
          <w:szCs w:val="28"/>
        </w:rPr>
        <w:t xml:space="preserve">  电话：</w:t>
      </w:r>
      <w:r>
        <w:rPr>
          <w:rFonts w:hint="eastAsia"/>
          <w:color w:val="auto"/>
          <w:sz w:val="28"/>
          <w:szCs w:val="28"/>
        </w:rPr>
        <w:t>010-62514016，18618260029</w:t>
      </w:r>
    </w:p>
    <w:p w14:paraId="1421CADD">
      <w:pPr>
        <w:spacing w:before="0" w:after="0" w:line="360" w:lineRule="auto"/>
        <w:ind w:firstLine="661" w:firstLineChars="235"/>
        <w:rPr>
          <w:b/>
          <w:color w:val="auto"/>
          <w:sz w:val="28"/>
          <w:szCs w:val="28"/>
        </w:rPr>
      </w:pPr>
      <w:r>
        <w:rPr>
          <w:rFonts w:hint="eastAsia"/>
          <w:b/>
          <w:color w:val="auto"/>
          <w:sz w:val="28"/>
          <w:szCs w:val="28"/>
        </w:rPr>
        <w:t>深圳迈瑞生物医疗电子股份有限</w:t>
      </w:r>
      <w:r>
        <w:rPr>
          <w:b/>
          <w:color w:val="auto"/>
          <w:sz w:val="28"/>
          <w:szCs w:val="28"/>
        </w:rPr>
        <w:t>公司</w:t>
      </w:r>
    </w:p>
    <w:p w14:paraId="56834D42">
      <w:pPr>
        <w:spacing w:before="0" w:after="0" w:line="360" w:lineRule="auto"/>
        <w:ind w:firstLine="658" w:firstLineChars="235"/>
        <w:jc w:val="left"/>
        <w:rPr>
          <w:rFonts w:hint="eastAsia" w:eastAsia="宋体"/>
          <w:color w:val="auto"/>
          <w:sz w:val="28"/>
          <w:szCs w:val="28"/>
          <w:lang w:val="en-US" w:eastAsia="zh-CN"/>
        </w:rPr>
      </w:pPr>
      <w:r>
        <w:rPr>
          <w:rFonts w:hint="eastAsia"/>
          <w:color w:val="auto"/>
          <w:sz w:val="28"/>
          <w:szCs w:val="28"/>
        </w:rPr>
        <w:t>技术支持：杨</w:t>
      </w:r>
      <w:r>
        <w:rPr>
          <w:rFonts w:hint="eastAsia"/>
          <w:color w:val="auto"/>
          <w:sz w:val="28"/>
          <w:szCs w:val="28"/>
          <w:lang w:val="en-US" w:eastAsia="zh-CN"/>
        </w:rPr>
        <w:t xml:space="preserve">  </w:t>
      </w:r>
      <w:r>
        <w:rPr>
          <w:rFonts w:hint="eastAsia"/>
          <w:color w:val="auto"/>
          <w:sz w:val="28"/>
          <w:szCs w:val="28"/>
        </w:rPr>
        <w:t>程</w:t>
      </w:r>
      <w:r>
        <w:rPr>
          <w:rFonts w:hint="eastAsia"/>
          <w:color w:val="auto"/>
          <w:sz w:val="28"/>
          <w:szCs w:val="28"/>
          <w:lang w:val="en-US" w:eastAsia="zh-CN"/>
        </w:rPr>
        <w:t xml:space="preserve">  </w:t>
      </w:r>
      <w:r>
        <w:rPr>
          <w:rFonts w:hint="default" w:ascii="Times New Roman" w:hAnsi="Times New Roman"/>
          <w:iCs w:val="0"/>
          <w:color w:val="auto"/>
          <w:kern w:val="2"/>
          <w:sz w:val="28"/>
          <w:szCs w:val="28"/>
        </w:rPr>
        <w:t>电话：</w:t>
      </w:r>
      <w:r>
        <w:rPr>
          <w:rFonts w:hint="eastAsia"/>
          <w:color w:val="auto"/>
          <w:sz w:val="28"/>
          <w:szCs w:val="28"/>
        </w:rPr>
        <w:t>13632848726</w:t>
      </w:r>
      <w:r>
        <w:rPr>
          <w:rFonts w:hint="eastAsia"/>
          <w:color w:val="auto"/>
          <w:sz w:val="28"/>
          <w:szCs w:val="28"/>
          <w:lang w:val="en-US" w:eastAsia="zh-CN"/>
        </w:rPr>
        <w:t xml:space="preserve"> </w:t>
      </w:r>
    </w:p>
    <w:p w14:paraId="2A83B960">
      <w:pPr>
        <w:spacing w:before="0" w:after="0" w:line="360" w:lineRule="auto"/>
        <w:ind w:firstLine="2058" w:firstLineChars="735"/>
        <w:rPr>
          <w:rFonts w:hint="default" w:eastAsia="宋体"/>
          <w:iCs w:val="0"/>
          <w:color w:val="auto"/>
          <w:kern w:val="2"/>
          <w:sz w:val="28"/>
          <w:szCs w:val="28"/>
          <w:lang w:val="en-US" w:eastAsia="zh-CN"/>
        </w:rPr>
      </w:pPr>
      <w:r>
        <w:rPr>
          <w:rFonts w:hint="eastAsia"/>
          <w:iCs w:val="0"/>
          <w:color w:val="auto"/>
          <w:kern w:val="2"/>
          <w:sz w:val="28"/>
          <w:szCs w:val="28"/>
          <w:lang w:val="en-US" w:eastAsia="zh-CN"/>
        </w:rPr>
        <w:t xml:space="preserve">吴璐琳  </w:t>
      </w:r>
      <w:r>
        <w:rPr>
          <w:rFonts w:hint="default" w:ascii="Times New Roman" w:hAnsi="Times New Roman"/>
          <w:iCs w:val="0"/>
          <w:color w:val="auto"/>
          <w:kern w:val="2"/>
          <w:sz w:val="28"/>
          <w:szCs w:val="28"/>
        </w:rPr>
        <w:t>电话：</w:t>
      </w:r>
      <w:r>
        <w:rPr>
          <w:rFonts w:hint="eastAsia"/>
          <w:iCs w:val="0"/>
          <w:color w:val="auto"/>
          <w:kern w:val="2"/>
          <w:sz w:val="28"/>
          <w:szCs w:val="28"/>
          <w:lang w:val="en-US" w:eastAsia="zh-CN"/>
        </w:rPr>
        <w:t>18017299739</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华文隶书">
    <w:panose1 w:val="02010800040101010101"/>
    <w:charset w:val="86"/>
    <w:family w:val="auto"/>
    <w:pitch w:val="default"/>
    <w:sig w:usb0="00000001" w:usb1="080F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彩云">
    <w:panose1 w:val="02010800040101010101"/>
    <w:charset w:val="86"/>
    <w:family w:val="auto"/>
    <w:pitch w:val="default"/>
    <w:sig w:usb0="00000001" w:usb1="080F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隶书">
    <w:panose1 w:val="0201050906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203" w:usb1="288F0000" w:usb2="00000006" w:usb3="00000000" w:csb0="00040001" w:csb1="00000000"/>
  </w:font>
  <w:font w:name="华文楷体">
    <w:panose1 w:val="02010600040101010101"/>
    <w:charset w:val="86"/>
    <w:family w:val="auto"/>
    <w:pitch w:val="default"/>
    <w:sig w:usb0="00000287" w:usb1="080F0000" w:usb2="00000000" w:usb3="00000000" w:csb0="0004009F" w:csb1="DFD70000"/>
  </w:font>
  <w:font w:name="华文细黑">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D9416F">
    <w:pPr>
      <w:pStyle w:val="7"/>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42A393">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CC038E">
    <w:pPr>
      <w:pStyle w:val="7"/>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ind w:firstLine="420"/>
      </w:pPr>
      <w:r>
        <w:separator/>
      </w:r>
    </w:p>
  </w:footnote>
  <w:footnote w:type="continuationSeparator" w:id="1">
    <w:p>
      <w:pPr>
        <w:spacing w:before="0" w:after="0"/>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0233C">
    <w:pPr>
      <w:pStyle w:val="8"/>
      <w:pBdr>
        <w:top w:val="none" w:color="auto" w:sz="0" w:space="1"/>
        <w:left w:val="none" w:color="auto" w:sz="0" w:space="4"/>
        <w:bottom w:val="none" w:color="auto" w:sz="0" w:space="1"/>
        <w:right w:val="none" w:color="auto" w:sz="0" w:space="4"/>
        <w:between w:val="none" w:color="auto" w:sz="0" w:space="0"/>
      </w:pBdr>
      <w:snapToGrid w:val="0"/>
      <w:spacing w:before="120" w:after="120"/>
      <w:ind w:firstLine="360" w:firstLineChars="200"/>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B7939E">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1D3C28">
    <w:pPr>
      <w:pStyle w:val="8"/>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FDB42AA"/>
    <w:multiLevelType w:val="multilevel"/>
    <w:tmpl w:val="4FDB42AA"/>
    <w:lvl w:ilvl="0" w:tentative="0">
      <w:start w:val="1"/>
      <w:numFmt w:val="chineseCountingThousand"/>
      <w:pStyle w:val="3"/>
      <w:lvlText w:val="%1、"/>
      <w:lvlJc w:val="left"/>
      <w:pPr>
        <w:ind w:left="620" w:hanging="420"/>
      </w:pPr>
    </w:lvl>
    <w:lvl w:ilvl="1" w:tentative="0">
      <w:start w:val="1"/>
      <w:numFmt w:val="lowerLetter"/>
      <w:lvlText w:val="%2)"/>
      <w:lvlJc w:val="left"/>
      <w:pPr>
        <w:ind w:left="1040" w:hanging="420"/>
      </w:pPr>
    </w:lvl>
    <w:lvl w:ilvl="2" w:tentative="0">
      <w:start w:val="1"/>
      <w:numFmt w:val="lowerRoman"/>
      <w:lvlText w:val="%3."/>
      <w:lvlJc w:val="right"/>
      <w:pPr>
        <w:ind w:left="1460" w:hanging="420"/>
      </w:pPr>
    </w:lvl>
    <w:lvl w:ilvl="3" w:tentative="0">
      <w:start w:val="1"/>
      <w:numFmt w:val="decimal"/>
      <w:lvlText w:val="%4."/>
      <w:lvlJc w:val="left"/>
      <w:pPr>
        <w:ind w:left="1880" w:hanging="420"/>
      </w:pPr>
    </w:lvl>
    <w:lvl w:ilvl="4" w:tentative="0">
      <w:start w:val="1"/>
      <w:numFmt w:val="lowerLetter"/>
      <w:lvlText w:val="%5)"/>
      <w:lvlJc w:val="left"/>
      <w:pPr>
        <w:ind w:left="2300" w:hanging="420"/>
      </w:pPr>
    </w:lvl>
    <w:lvl w:ilvl="5" w:tentative="0">
      <w:start w:val="1"/>
      <w:numFmt w:val="lowerRoman"/>
      <w:lvlText w:val="%6."/>
      <w:lvlJc w:val="right"/>
      <w:pPr>
        <w:ind w:left="2720" w:hanging="420"/>
      </w:pPr>
    </w:lvl>
    <w:lvl w:ilvl="6" w:tentative="0">
      <w:start w:val="1"/>
      <w:numFmt w:val="decimal"/>
      <w:lvlText w:val="%7."/>
      <w:lvlJc w:val="left"/>
      <w:pPr>
        <w:ind w:left="3140" w:hanging="420"/>
      </w:pPr>
    </w:lvl>
    <w:lvl w:ilvl="7" w:tentative="0">
      <w:start w:val="1"/>
      <w:numFmt w:val="lowerLetter"/>
      <w:lvlText w:val="%8)"/>
      <w:lvlJc w:val="left"/>
      <w:pPr>
        <w:ind w:left="3560" w:hanging="420"/>
      </w:pPr>
    </w:lvl>
    <w:lvl w:ilvl="8" w:tentative="0">
      <w:start w:val="1"/>
      <w:numFmt w:val="lowerRoman"/>
      <w:lvlText w:val="%9."/>
      <w:lvlJc w:val="right"/>
      <w:pPr>
        <w:ind w:left="3980" w:hanging="420"/>
      </w:pPr>
    </w:lvl>
  </w:abstractNum>
  <w:abstractNum w:abstractNumId="1">
    <w:nsid w:val="7ED090CC"/>
    <w:multiLevelType w:val="singleLevel"/>
    <w:tmpl w:val="7ED090CC"/>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QwZGZlZGJjYzljY2NmOTI1MWEwYmRiNzU3NjA5NjMifQ=="/>
    <w:docVar w:name="KSO_WPS_MARK_KEY" w:val="dc8f719e-db8b-45bf-9f31-32baab838cef"/>
  </w:docVars>
  <w:rsids>
    <w:rsidRoot w:val="31C15D21"/>
    <w:rsid w:val="000107CA"/>
    <w:rsid w:val="00041CD0"/>
    <w:rsid w:val="00043CED"/>
    <w:rsid w:val="00052759"/>
    <w:rsid w:val="000578CD"/>
    <w:rsid w:val="00066487"/>
    <w:rsid w:val="000737EA"/>
    <w:rsid w:val="000A0ACE"/>
    <w:rsid w:val="000A3C2C"/>
    <w:rsid w:val="000C507F"/>
    <w:rsid w:val="00121A1F"/>
    <w:rsid w:val="00126A02"/>
    <w:rsid w:val="0015585F"/>
    <w:rsid w:val="00156948"/>
    <w:rsid w:val="00181C2B"/>
    <w:rsid w:val="00193633"/>
    <w:rsid w:val="001A2E26"/>
    <w:rsid w:val="00210ADF"/>
    <w:rsid w:val="00297BB8"/>
    <w:rsid w:val="002A760B"/>
    <w:rsid w:val="002B2472"/>
    <w:rsid w:val="002B6ED0"/>
    <w:rsid w:val="002D49C6"/>
    <w:rsid w:val="002D7FBB"/>
    <w:rsid w:val="002E6BDE"/>
    <w:rsid w:val="00321870"/>
    <w:rsid w:val="00367EAA"/>
    <w:rsid w:val="003A4B3F"/>
    <w:rsid w:val="003B217C"/>
    <w:rsid w:val="003F6394"/>
    <w:rsid w:val="00444A34"/>
    <w:rsid w:val="00474EDD"/>
    <w:rsid w:val="004774A8"/>
    <w:rsid w:val="00486503"/>
    <w:rsid w:val="00486DF0"/>
    <w:rsid w:val="004A3073"/>
    <w:rsid w:val="004A3661"/>
    <w:rsid w:val="004A436A"/>
    <w:rsid w:val="004A5001"/>
    <w:rsid w:val="004F0A88"/>
    <w:rsid w:val="00527FC8"/>
    <w:rsid w:val="005420B1"/>
    <w:rsid w:val="005463A1"/>
    <w:rsid w:val="00546A35"/>
    <w:rsid w:val="00552B39"/>
    <w:rsid w:val="005776D9"/>
    <w:rsid w:val="00580B1D"/>
    <w:rsid w:val="00581D8E"/>
    <w:rsid w:val="00582759"/>
    <w:rsid w:val="005D1180"/>
    <w:rsid w:val="0063603C"/>
    <w:rsid w:val="00660C09"/>
    <w:rsid w:val="00661D65"/>
    <w:rsid w:val="00663C30"/>
    <w:rsid w:val="006806AE"/>
    <w:rsid w:val="0071743D"/>
    <w:rsid w:val="00730A6F"/>
    <w:rsid w:val="007331DF"/>
    <w:rsid w:val="00772502"/>
    <w:rsid w:val="00787D5E"/>
    <w:rsid w:val="0079019D"/>
    <w:rsid w:val="007A6540"/>
    <w:rsid w:val="007C174E"/>
    <w:rsid w:val="008214C4"/>
    <w:rsid w:val="00831F07"/>
    <w:rsid w:val="00880014"/>
    <w:rsid w:val="00881D58"/>
    <w:rsid w:val="0088396B"/>
    <w:rsid w:val="008B7759"/>
    <w:rsid w:val="008C3A05"/>
    <w:rsid w:val="008D61D3"/>
    <w:rsid w:val="008E2BE9"/>
    <w:rsid w:val="008F7B6B"/>
    <w:rsid w:val="009006A5"/>
    <w:rsid w:val="00931080"/>
    <w:rsid w:val="009500A9"/>
    <w:rsid w:val="00964176"/>
    <w:rsid w:val="0097546A"/>
    <w:rsid w:val="009865C1"/>
    <w:rsid w:val="009872D1"/>
    <w:rsid w:val="00996CBD"/>
    <w:rsid w:val="009F01C3"/>
    <w:rsid w:val="00A04A5A"/>
    <w:rsid w:val="00A21AA6"/>
    <w:rsid w:val="00A23D1A"/>
    <w:rsid w:val="00A243BD"/>
    <w:rsid w:val="00A47567"/>
    <w:rsid w:val="00A738E3"/>
    <w:rsid w:val="00AA10DC"/>
    <w:rsid w:val="00AB6377"/>
    <w:rsid w:val="00B106A6"/>
    <w:rsid w:val="00B263F0"/>
    <w:rsid w:val="00B37C5C"/>
    <w:rsid w:val="00B55835"/>
    <w:rsid w:val="00B8686C"/>
    <w:rsid w:val="00B90BE8"/>
    <w:rsid w:val="00BC282A"/>
    <w:rsid w:val="00BC3C62"/>
    <w:rsid w:val="00BE066E"/>
    <w:rsid w:val="00C0176F"/>
    <w:rsid w:val="00C03287"/>
    <w:rsid w:val="00C208D7"/>
    <w:rsid w:val="00C244A0"/>
    <w:rsid w:val="00C50181"/>
    <w:rsid w:val="00C51D10"/>
    <w:rsid w:val="00C5383E"/>
    <w:rsid w:val="00C6218F"/>
    <w:rsid w:val="00C779F4"/>
    <w:rsid w:val="00CB4451"/>
    <w:rsid w:val="00CC03EB"/>
    <w:rsid w:val="00CE6951"/>
    <w:rsid w:val="00D17C44"/>
    <w:rsid w:val="00D22D19"/>
    <w:rsid w:val="00D27C0E"/>
    <w:rsid w:val="00D649FD"/>
    <w:rsid w:val="00D876E4"/>
    <w:rsid w:val="00DB39ED"/>
    <w:rsid w:val="00DC747F"/>
    <w:rsid w:val="00E03667"/>
    <w:rsid w:val="00E74631"/>
    <w:rsid w:val="00EA3932"/>
    <w:rsid w:val="00EB1EF1"/>
    <w:rsid w:val="00EC73F9"/>
    <w:rsid w:val="00EE355C"/>
    <w:rsid w:val="00EF22EC"/>
    <w:rsid w:val="00F01D48"/>
    <w:rsid w:val="00F05535"/>
    <w:rsid w:val="00F170D7"/>
    <w:rsid w:val="00F44DA3"/>
    <w:rsid w:val="00F63E7D"/>
    <w:rsid w:val="00F851ED"/>
    <w:rsid w:val="00FA249C"/>
    <w:rsid w:val="00FA6674"/>
    <w:rsid w:val="00FB69B2"/>
    <w:rsid w:val="00FC2113"/>
    <w:rsid w:val="00FC35BF"/>
    <w:rsid w:val="00FD7668"/>
    <w:rsid w:val="00FE190C"/>
    <w:rsid w:val="01747354"/>
    <w:rsid w:val="019674B7"/>
    <w:rsid w:val="03993DBA"/>
    <w:rsid w:val="03B629A7"/>
    <w:rsid w:val="04117BDE"/>
    <w:rsid w:val="04A86794"/>
    <w:rsid w:val="04C3537C"/>
    <w:rsid w:val="05793C8D"/>
    <w:rsid w:val="058D6A20"/>
    <w:rsid w:val="06A93E29"/>
    <w:rsid w:val="0A74769A"/>
    <w:rsid w:val="0A7A504E"/>
    <w:rsid w:val="0C7156BE"/>
    <w:rsid w:val="0C9F4CFB"/>
    <w:rsid w:val="0CAE71A8"/>
    <w:rsid w:val="0D3E5790"/>
    <w:rsid w:val="0E2009D4"/>
    <w:rsid w:val="0ECF23DA"/>
    <w:rsid w:val="0FF53C80"/>
    <w:rsid w:val="0FFA2130"/>
    <w:rsid w:val="16570F0F"/>
    <w:rsid w:val="167D14CF"/>
    <w:rsid w:val="17C2508C"/>
    <w:rsid w:val="19C21C4E"/>
    <w:rsid w:val="1AC14F6D"/>
    <w:rsid w:val="1AD604EC"/>
    <w:rsid w:val="1C28386D"/>
    <w:rsid w:val="1CE24C58"/>
    <w:rsid w:val="1D4612B6"/>
    <w:rsid w:val="1D952335"/>
    <w:rsid w:val="1E9A2507"/>
    <w:rsid w:val="1EC04283"/>
    <w:rsid w:val="1FFB7C68"/>
    <w:rsid w:val="20013309"/>
    <w:rsid w:val="20AF7B81"/>
    <w:rsid w:val="20BB73F7"/>
    <w:rsid w:val="214F05E5"/>
    <w:rsid w:val="24D10DE1"/>
    <w:rsid w:val="25270BB7"/>
    <w:rsid w:val="254672A4"/>
    <w:rsid w:val="25781413"/>
    <w:rsid w:val="264B6517"/>
    <w:rsid w:val="26664013"/>
    <w:rsid w:val="267C5024"/>
    <w:rsid w:val="29C0428D"/>
    <w:rsid w:val="2A1A6F3D"/>
    <w:rsid w:val="2B710CB1"/>
    <w:rsid w:val="2B7D15E1"/>
    <w:rsid w:val="2BA2266F"/>
    <w:rsid w:val="2BAE2033"/>
    <w:rsid w:val="2C954FA0"/>
    <w:rsid w:val="2CED0939"/>
    <w:rsid w:val="2DA17F46"/>
    <w:rsid w:val="2E1A367D"/>
    <w:rsid w:val="2EDB6FB6"/>
    <w:rsid w:val="2F9C6646"/>
    <w:rsid w:val="31230DCD"/>
    <w:rsid w:val="31580A87"/>
    <w:rsid w:val="31723B02"/>
    <w:rsid w:val="31C15D21"/>
    <w:rsid w:val="32A25D21"/>
    <w:rsid w:val="34054394"/>
    <w:rsid w:val="34230788"/>
    <w:rsid w:val="343E3545"/>
    <w:rsid w:val="34E92B56"/>
    <w:rsid w:val="35234530"/>
    <w:rsid w:val="3611248A"/>
    <w:rsid w:val="36964E85"/>
    <w:rsid w:val="36AF2D07"/>
    <w:rsid w:val="377063EE"/>
    <w:rsid w:val="37F55A83"/>
    <w:rsid w:val="3A5B3D04"/>
    <w:rsid w:val="3AA94C1B"/>
    <w:rsid w:val="3B0B7012"/>
    <w:rsid w:val="3B7D1381"/>
    <w:rsid w:val="3BB61B00"/>
    <w:rsid w:val="3CC049DE"/>
    <w:rsid w:val="3D2263DC"/>
    <w:rsid w:val="3DA63A02"/>
    <w:rsid w:val="3EC76201"/>
    <w:rsid w:val="3EF91720"/>
    <w:rsid w:val="3F6E5909"/>
    <w:rsid w:val="40FE4A6B"/>
    <w:rsid w:val="41147A97"/>
    <w:rsid w:val="412070D7"/>
    <w:rsid w:val="42A653BA"/>
    <w:rsid w:val="448824A8"/>
    <w:rsid w:val="449F47B6"/>
    <w:rsid w:val="44BD67FB"/>
    <w:rsid w:val="461B5547"/>
    <w:rsid w:val="46892F47"/>
    <w:rsid w:val="469D6AD4"/>
    <w:rsid w:val="485F6737"/>
    <w:rsid w:val="4B482206"/>
    <w:rsid w:val="4BD066CA"/>
    <w:rsid w:val="4BEF6527"/>
    <w:rsid w:val="4D502AF2"/>
    <w:rsid w:val="4D5C2911"/>
    <w:rsid w:val="4D970721"/>
    <w:rsid w:val="4DD94ABA"/>
    <w:rsid w:val="4ED5157E"/>
    <w:rsid w:val="4F044A8C"/>
    <w:rsid w:val="4FED5B40"/>
    <w:rsid w:val="51903EDE"/>
    <w:rsid w:val="51F872B4"/>
    <w:rsid w:val="525A0A68"/>
    <w:rsid w:val="52860451"/>
    <w:rsid w:val="538A011C"/>
    <w:rsid w:val="550C37A2"/>
    <w:rsid w:val="55386351"/>
    <w:rsid w:val="554D1F93"/>
    <w:rsid w:val="564B522F"/>
    <w:rsid w:val="564C1367"/>
    <w:rsid w:val="56CF718E"/>
    <w:rsid w:val="57053183"/>
    <w:rsid w:val="575903E8"/>
    <w:rsid w:val="58103ED8"/>
    <w:rsid w:val="59527BBB"/>
    <w:rsid w:val="5B131DFB"/>
    <w:rsid w:val="5B825A02"/>
    <w:rsid w:val="5FCF0454"/>
    <w:rsid w:val="5FF23BEF"/>
    <w:rsid w:val="613207EC"/>
    <w:rsid w:val="61527636"/>
    <w:rsid w:val="61565DA5"/>
    <w:rsid w:val="63012C54"/>
    <w:rsid w:val="65073F4D"/>
    <w:rsid w:val="674E66E7"/>
    <w:rsid w:val="67D38F64"/>
    <w:rsid w:val="6A083522"/>
    <w:rsid w:val="6AD14A3F"/>
    <w:rsid w:val="6AF0720C"/>
    <w:rsid w:val="6B6E08BB"/>
    <w:rsid w:val="6BDB5825"/>
    <w:rsid w:val="6C053E44"/>
    <w:rsid w:val="6C5F0204"/>
    <w:rsid w:val="6D3439BB"/>
    <w:rsid w:val="6D4610AE"/>
    <w:rsid w:val="6F0D37ED"/>
    <w:rsid w:val="709F49F7"/>
    <w:rsid w:val="72120E79"/>
    <w:rsid w:val="72DD1E82"/>
    <w:rsid w:val="731C67A1"/>
    <w:rsid w:val="732B40EE"/>
    <w:rsid w:val="73892971"/>
    <w:rsid w:val="74946763"/>
    <w:rsid w:val="74D43C38"/>
    <w:rsid w:val="74FC0CE6"/>
    <w:rsid w:val="763E594A"/>
    <w:rsid w:val="77A67382"/>
    <w:rsid w:val="77BF5FFA"/>
    <w:rsid w:val="77CB499F"/>
    <w:rsid w:val="79401EF8"/>
    <w:rsid w:val="79F75F20"/>
    <w:rsid w:val="7A3E4D33"/>
    <w:rsid w:val="7AAA2F92"/>
    <w:rsid w:val="7B4F6582"/>
    <w:rsid w:val="7CC06A9D"/>
    <w:rsid w:val="7CEB427E"/>
    <w:rsid w:val="7D7D7D74"/>
    <w:rsid w:val="7DA41F1A"/>
    <w:rsid w:val="7DDB7810"/>
    <w:rsid w:val="7E8F6545"/>
    <w:rsid w:val="7EFE2A2D"/>
    <w:rsid w:val="7FBDD758"/>
    <w:rsid w:val="7FF75659"/>
    <w:rsid w:val="9CF665BA"/>
    <w:rsid w:val="BFDF3B6D"/>
    <w:rsid w:val="CF9E9812"/>
    <w:rsid w:val="D5E75209"/>
    <w:rsid w:val="D7B71A1E"/>
    <w:rsid w:val="D7CFFDCD"/>
    <w:rsid w:val="DFFD2165"/>
    <w:rsid w:val="F37F15FE"/>
    <w:rsid w:val="FEDFEA2A"/>
    <w:rsid w:val="FFD4F2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spacing w:before="120" w:after="120"/>
      <w:ind w:firstLine="200" w:firstLineChars="200"/>
      <w:jc w:val="both"/>
    </w:pPr>
    <w:rPr>
      <w:rFonts w:ascii="Times New Roman" w:hAnsi="Times New Roman" w:eastAsia="宋体" w:cs="Times New Roman"/>
      <w:iCs/>
      <w:color w:val="000000" w:themeColor="text1"/>
      <w:sz w:val="21"/>
      <w:lang w:val="en-US" w:eastAsia="zh-CN" w:bidi="ar-SA"/>
      <w14:textFill>
        <w14:solidFill>
          <w14:schemeClr w14:val="tx1"/>
        </w14:solidFill>
      </w14:textFill>
    </w:rPr>
  </w:style>
  <w:style w:type="paragraph" w:styleId="2">
    <w:name w:val="heading 1"/>
    <w:basedOn w:val="1"/>
    <w:next w:val="1"/>
    <w:autoRedefine/>
    <w:qFormat/>
    <w:uiPriority w:val="9"/>
    <w:pPr>
      <w:spacing w:after="360" w:line="480" w:lineRule="exact"/>
      <w:ind w:firstLine="0" w:firstLineChars="0"/>
      <w:contextualSpacing/>
      <w:jc w:val="center"/>
      <w:outlineLvl w:val="0"/>
    </w:pPr>
    <w:rPr>
      <w:rFonts w:eastAsia="微软雅黑"/>
      <w:b/>
      <w:bCs/>
      <w:color w:val="0F243E"/>
      <w:sz w:val="32"/>
      <w:szCs w:val="22"/>
    </w:rPr>
  </w:style>
  <w:style w:type="paragraph" w:styleId="3">
    <w:name w:val="heading 2"/>
    <w:basedOn w:val="1"/>
    <w:next w:val="1"/>
    <w:autoRedefine/>
    <w:unhideWhenUsed/>
    <w:qFormat/>
    <w:uiPriority w:val="0"/>
    <w:pPr>
      <w:numPr>
        <w:ilvl w:val="0"/>
        <w:numId w:val="1"/>
      </w:numPr>
      <w:spacing w:beforeLines="50" w:after="0"/>
      <w:ind w:firstLine="0" w:firstLineChars="0"/>
      <w:contextualSpacing/>
      <w:jc w:val="left"/>
      <w:outlineLvl w:val="1"/>
    </w:pPr>
    <w:rPr>
      <w:rFonts w:eastAsia="微软雅黑"/>
      <w:b/>
      <w:bCs/>
      <w:sz w:val="28"/>
      <w:szCs w:val="22"/>
    </w:rPr>
  </w:style>
  <w:style w:type="paragraph" w:styleId="4">
    <w:name w:val="heading 3"/>
    <w:basedOn w:val="1"/>
    <w:next w:val="1"/>
    <w:autoRedefine/>
    <w:semiHidden/>
    <w:unhideWhenUsed/>
    <w:qFormat/>
    <w:uiPriority w:val="0"/>
    <w:pPr>
      <w:spacing w:before="0" w:beforeAutospacing="1" w:after="0" w:afterAutospacing="1"/>
      <w:jc w:val="left"/>
      <w:outlineLvl w:val="2"/>
    </w:pPr>
    <w:rPr>
      <w:rFonts w:hint="eastAsia" w:ascii="宋体" w:hAnsi="宋体"/>
      <w:b/>
      <w:bCs/>
      <w:sz w:val="27"/>
      <w:szCs w:val="27"/>
    </w:rPr>
  </w:style>
  <w:style w:type="character" w:default="1" w:styleId="12">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5">
    <w:name w:val="annotation text"/>
    <w:basedOn w:val="1"/>
    <w:link w:val="19"/>
    <w:autoRedefine/>
    <w:qFormat/>
    <w:uiPriority w:val="0"/>
    <w:pPr>
      <w:jc w:val="left"/>
    </w:pPr>
  </w:style>
  <w:style w:type="paragraph" w:styleId="6">
    <w:name w:val="Balloon Text"/>
    <w:basedOn w:val="1"/>
    <w:link w:val="23"/>
    <w:autoRedefine/>
    <w:qFormat/>
    <w:uiPriority w:val="0"/>
    <w:pPr>
      <w:spacing w:before="0" w:after="0"/>
    </w:pPr>
    <w:rPr>
      <w:sz w:val="18"/>
      <w:szCs w:val="18"/>
    </w:rPr>
  </w:style>
  <w:style w:type="paragraph" w:styleId="7">
    <w:name w:val="footer"/>
    <w:basedOn w:val="1"/>
    <w:link w:val="22"/>
    <w:autoRedefine/>
    <w:qFormat/>
    <w:uiPriority w:val="0"/>
    <w:pPr>
      <w:tabs>
        <w:tab w:val="center" w:pos="4153"/>
        <w:tab w:val="right" w:pos="8306"/>
      </w:tabs>
      <w:snapToGrid w:val="0"/>
      <w:jc w:val="left"/>
    </w:pPr>
    <w:rPr>
      <w:sz w:val="18"/>
      <w:szCs w:val="18"/>
    </w:rPr>
  </w:style>
  <w:style w:type="paragraph" w:styleId="8">
    <w:name w:val="header"/>
    <w:basedOn w:val="1"/>
    <w:link w:val="21"/>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autoRedefine/>
    <w:unhideWhenUsed/>
    <w:qFormat/>
    <w:uiPriority w:val="99"/>
    <w:pPr>
      <w:spacing w:before="100" w:beforeAutospacing="1" w:after="100" w:afterAutospacing="1"/>
      <w:ind w:firstLine="0" w:firstLineChars="0"/>
      <w:jc w:val="left"/>
    </w:pPr>
    <w:rPr>
      <w:rFonts w:ascii="宋体" w:hAnsi="宋体" w:cs="宋体"/>
      <w:iCs w:val="0"/>
      <w:color w:val="auto"/>
      <w:sz w:val="24"/>
      <w:szCs w:val="24"/>
    </w:rPr>
  </w:style>
  <w:style w:type="paragraph" w:styleId="10">
    <w:name w:val="annotation subject"/>
    <w:basedOn w:val="5"/>
    <w:next w:val="5"/>
    <w:link w:val="20"/>
    <w:autoRedefine/>
    <w:qFormat/>
    <w:uiPriority w:val="0"/>
    <w:rPr>
      <w:b/>
      <w:bCs/>
    </w:rPr>
  </w:style>
  <w:style w:type="character" w:styleId="13">
    <w:name w:val="Emphasis"/>
    <w:basedOn w:val="12"/>
    <w:autoRedefine/>
    <w:qFormat/>
    <w:uiPriority w:val="20"/>
    <w:rPr>
      <w:i/>
      <w:iCs/>
    </w:rPr>
  </w:style>
  <w:style w:type="character" w:styleId="14">
    <w:name w:val="Hyperlink"/>
    <w:basedOn w:val="12"/>
    <w:autoRedefine/>
    <w:qFormat/>
    <w:uiPriority w:val="0"/>
    <w:rPr>
      <w:color w:val="0000FF"/>
      <w:u w:val="single"/>
    </w:rPr>
  </w:style>
  <w:style w:type="character" w:styleId="15">
    <w:name w:val="annotation reference"/>
    <w:basedOn w:val="12"/>
    <w:autoRedefine/>
    <w:qFormat/>
    <w:uiPriority w:val="0"/>
    <w:rPr>
      <w:sz w:val="21"/>
      <w:szCs w:val="21"/>
    </w:rPr>
  </w:style>
  <w:style w:type="paragraph" w:styleId="16">
    <w:name w:val="List Paragraph"/>
    <w:basedOn w:val="1"/>
    <w:autoRedefine/>
    <w:qFormat/>
    <w:uiPriority w:val="34"/>
    <w:pPr>
      <w:ind w:left="720"/>
      <w:contextualSpacing/>
    </w:pPr>
  </w:style>
  <w:style w:type="character" w:customStyle="1" w:styleId="17">
    <w:name w:val="font21"/>
    <w:basedOn w:val="12"/>
    <w:autoRedefine/>
    <w:qFormat/>
    <w:uiPriority w:val="0"/>
    <w:rPr>
      <w:rFonts w:hint="eastAsia" w:ascii="宋体" w:hAnsi="宋体" w:eastAsia="宋体" w:cs="宋体"/>
      <w:color w:val="FF0000"/>
      <w:sz w:val="22"/>
      <w:szCs w:val="22"/>
      <w:u w:val="none"/>
    </w:rPr>
  </w:style>
  <w:style w:type="character" w:customStyle="1" w:styleId="18">
    <w:name w:val="font11"/>
    <w:basedOn w:val="12"/>
    <w:autoRedefine/>
    <w:qFormat/>
    <w:uiPriority w:val="0"/>
    <w:rPr>
      <w:rFonts w:hint="eastAsia" w:ascii="宋体" w:hAnsi="宋体" w:eastAsia="宋体" w:cs="宋体"/>
      <w:color w:val="000000"/>
      <w:sz w:val="22"/>
      <w:szCs w:val="22"/>
      <w:u w:val="none"/>
    </w:rPr>
  </w:style>
  <w:style w:type="character" w:customStyle="1" w:styleId="19">
    <w:name w:val="批注文字 字符"/>
    <w:basedOn w:val="12"/>
    <w:link w:val="5"/>
    <w:autoRedefine/>
    <w:qFormat/>
    <w:uiPriority w:val="0"/>
    <w:rPr>
      <w:iCs/>
      <w:color w:val="000000" w:themeColor="text1"/>
      <w:sz w:val="21"/>
      <w14:textFill>
        <w14:solidFill>
          <w14:schemeClr w14:val="tx1"/>
        </w14:solidFill>
      </w14:textFill>
    </w:rPr>
  </w:style>
  <w:style w:type="character" w:customStyle="1" w:styleId="20">
    <w:name w:val="批注主题 字符"/>
    <w:basedOn w:val="19"/>
    <w:link w:val="10"/>
    <w:autoRedefine/>
    <w:qFormat/>
    <w:uiPriority w:val="0"/>
    <w:rPr>
      <w:b/>
      <w:bCs/>
      <w:color w:val="000000" w:themeColor="text1"/>
      <w:sz w:val="21"/>
      <w14:textFill>
        <w14:solidFill>
          <w14:schemeClr w14:val="tx1"/>
        </w14:solidFill>
      </w14:textFill>
    </w:rPr>
  </w:style>
  <w:style w:type="character" w:customStyle="1" w:styleId="21">
    <w:name w:val="页眉 字符"/>
    <w:basedOn w:val="12"/>
    <w:link w:val="8"/>
    <w:autoRedefine/>
    <w:qFormat/>
    <w:uiPriority w:val="0"/>
    <w:rPr>
      <w:iCs/>
      <w:color w:val="000000" w:themeColor="text1"/>
      <w:sz w:val="18"/>
      <w:szCs w:val="18"/>
      <w14:textFill>
        <w14:solidFill>
          <w14:schemeClr w14:val="tx1"/>
        </w14:solidFill>
      </w14:textFill>
    </w:rPr>
  </w:style>
  <w:style w:type="character" w:customStyle="1" w:styleId="22">
    <w:name w:val="页脚 字符"/>
    <w:basedOn w:val="12"/>
    <w:link w:val="7"/>
    <w:autoRedefine/>
    <w:qFormat/>
    <w:uiPriority w:val="0"/>
    <w:rPr>
      <w:iCs/>
      <w:color w:val="000000" w:themeColor="text1"/>
      <w:sz w:val="18"/>
      <w:szCs w:val="18"/>
      <w14:textFill>
        <w14:solidFill>
          <w14:schemeClr w14:val="tx1"/>
        </w14:solidFill>
      </w14:textFill>
    </w:rPr>
  </w:style>
  <w:style w:type="character" w:customStyle="1" w:styleId="23">
    <w:name w:val="批注框文本 字符"/>
    <w:basedOn w:val="12"/>
    <w:link w:val="6"/>
    <w:autoRedefine/>
    <w:qFormat/>
    <w:uiPriority w:val="0"/>
    <w:rPr>
      <w:iCs/>
      <w:color w:val="000000" w:themeColor="text1"/>
      <w:sz w:val="18"/>
      <w:szCs w:val="18"/>
      <w14:textFill>
        <w14:solidFill>
          <w14:schemeClr w14:val="tx1"/>
        </w14:solidFill>
      </w14:textFill>
    </w:rPr>
  </w:style>
  <w:style w:type="paragraph" w:customStyle="1" w:styleId="24">
    <w:name w:val="修订1"/>
    <w:autoRedefine/>
    <w:hidden/>
    <w:semiHidden/>
    <w:qFormat/>
    <w:uiPriority w:val="99"/>
    <w:rPr>
      <w:rFonts w:ascii="Times New Roman" w:hAnsi="Times New Roman" w:eastAsia="宋体" w:cs="Times New Roman"/>
      <w:iCs/>
      <w:color w:val="000000" w:themeColor="text1"/>
      <w:sz w:val="21"/>
      <w:lang w:val="en-US" w:eastAsia="zh-CN" w:bidi="ar-SA"/>
      <w14:textFill>
        <w14:solidFill>
          <w14:schemeClr w14:val="tx1"/>
        </w14:solidFill>
      </w14:textFill>
    </w:rPr>
  </w:style>
  <w:style w:type="paragraph" w:customStyle="1" w:styleId="25">
    <w:name w:val="修订2"/>
    <w:autoRedefine/>
    <w:hidden/>
    <w:semiHidden/>
    <w:qFormat/>
    <w:uiPriority w:val="99"/>
    <w:rPr>
      <w:rFonts w:ascii="Times New Roman" w:hAnsi="Times New Roman" w:eastAsia="宋体" w:cs="Times New Roman"/>
      <w:iCs/>
      <w:color w:val="000000" w:themeColor="text1"/>
      <w:sz w:val="21"/>
      <w:lang w:val="en-US" w:eastAsia="zh-CN" w:bidi="ar-SA"/>
      <w14:textFill>
        <w14:solidFill>
          <w14:schemeClr w14:val="tx1"/>
        </w14:solidFill>
      </w14:textFill>
    </w:rPr>
  </w:style>
  <w:style w:type="paragraph" w:customStyle="1" w:styleId="26">
    <w:name w:val="修订3"/>
    <w:autoRedefine/>
    <w:hidden/>
    <w:semiHidden/>
    <w:qFormat/>
    <w:uiPriority w:val="99"/>
    <w:rPr>
      <w:rFonts w:ascii="Times New Roman" w:hAnsi="Times New Roman" w:eastAsia="宋体" w:cs="Times New Roman"/>
      <w:iCs/>
      <w:color w:val="000000" w:themeColor="text1"/>
      <w:sz w:val="21"/>
      <w:lang w:val="en-US" w:eastAsia="zh-CN" w:bidi="ar-SA"/>
      <w14:textFill>
        <w14:solidFill>
          <w14:schemeClr w14:val="tx1"/>
        </w14:solidFill>
      </w14:textFill>
    </w:rPr>
  </w:style>
  <w:style w:type="paragraph" w:customStyle="1" w:styleId="27">
    <w:name w:val="修订4"/>
    <w:autoRedefine/>
    <w:hidden/>
    <w:unhideWhenUsed/>
    <w:qFormat/>
    <w:uiPriority w:val="99"/>
    <w:rPr>
      <w:rFonts w:ascii="Times New Roman" w:hAnsi="Times New Roman" w:eastAsia="宋体" w:cs="Times New Roman"/>
      <w:iCs/>
      <w:color w:val="000000" w:themeColor="text1"/>
      <w:sz w:val="21"/>
      <w:lang w:val="en-US" w:eastAsia="zh-CN" w:bidi="ar-SA"/>
      <w14:textFill>
        <w14:solidFill>
          <w14:schemeClr w14:val="tx1"/>
        </w14:solidFill>
      </w14:textFill>
    </w:rPr>
  </w:style>
  <w:style w:type="paragraph" w:customStyle="1" w:styleId="28">
    <w:name w:val="修订5"/>
    <w:autoRedefine/>
    <w:hidden/>
    <w:unhideWhenUsed/>
    <w:qFormat/>
    <w:uiPriority w:val="99"/>
    <w:rPr>
      <w:rFonts w:ascii="Times New Roman" w:hAnsi="Times New Roman" w:eastAsia="宋体" w:cs="Times New Roman"/>
      <w:iCs/>
      <w:color w:val="000000" w:themeColor="text1"/>
      <w:sz w:val="21"/>
      <w:lang w:val="en-US" w:eastAsia="zh-CN" w:bidi="ar-SA"/>
      <w14:textFill>
        <w14:solidFill>
          <w14:schemeClr w14:val="tx1"/>
        </w14:solidFill>
      </w14:textFill>
    </w:rPr>
  </w:style>
  <w:style w:type="paragraph" w:customStyle="1" w:styleId="29">
    <w:name w:val="修订6"/>
    <w:autoRedefine/>
    <w:hidden/>
    <w:unhideWhenUsed/>
    <w:qFormat/>
    <w:uiPriority w:val="99"/>
    <w:rPr>
      <w:rFonts w:ascii="Times New Roman" w:hAnsi="Times New Roman" w:eastAsia="宋体" w:cs="Times New Roman"/>
      <w:iCs/>
      <w:color w:val="000000" w:themeColor="text1"/>
      <w:sz w:val="21"/>
      <w:lang w:val="en-US" w:eastAsia="zh-CN" w:bidi="ar-SA"/>
      <w14:textFill>
        <w14:solidFill>
          <w14:schemeClr w14:val="tx1"/>
        </w14:solidFill>
      </w14:textFill>
    </w:rPr>
  </w:style>
  <w:style w:type="paragraph" w:customStyle="1" w:styleId="30">
    <w:name w:val="修订7"/>
    <w:autoRedefine/>
    <w:hidden/>
    <w:unhideWhenUsed/>
    <w:qFormat/>
    <w:uiPriority w:val="99"/>
    <w:rPr>
      <w:rFonts w:ascii="Times New Roman" w:hAnsi="Times New Roman" w:eastAsia="宋体" w:cs="Times New Roman"/>
      <w:iCs/>
      <w:color w:val="000000" w:themeColor="text1"/>
      <w:sz w:val="21"/>
      <w:lang w:val="en-US" w:eastAsia="zh-CN" w:bidi="ar-SA"/>
      <w14:textFill>
        <w14:solidFill>
          <w14:schemeClr w14:val="tx1"/>
        </w14:solidFill>
      </w14:textFill>
    </w:rPr>
  </w:style>
  <w:style w:type="character" w:customStyle="1" w:styleId="31">
    <w:name w:val="font81"/>
    <w:basedOn w:val="12"/>
    <w:uiPriority w:val="0"/>
    <w:rPr>
      <w:rFonts w:ascii="Tahoma" w:hAnsi="Tahoma" w:eastAsia="Tahoma" w:cs="Tahoma"/>
      <w:color w:val="FF0000"/>
      <w:sz w:val="22"/>
      <w:szCs w:val="22"/>
      <w:u w:val="none"/>
    </w:rPr>
  </w:style>
  <w:style w:type="character" w:customStyle="1" w:styleId="32">
    <w:name w:val="font31"/>
    <w:basedOn w:val="12"/>
    <w:uiPriority w:val="0"/>
    <w:rPr>
      <w:rFonts w:hint="eastAsia" w:ascii="微软雅黑" w:hAnsi="微软雅黑" w:eastAsia="微软雅黑" w:cs="微软雅黑"/>
      <w:color w:val="000000"/>
      <w:sz w:val="18"/>
      <w:szCs w:val="18"/>
      <w:u w:val="none"/>
    </w:rPr>
  </w:style>
  <w:style w:type="character" w:customStyle="1" w:styleId="33">
    <w:name w:val="Hyperlink.0"/>
    <w:basedOn w:val="12"/>
    <w:uiPriority w:val="0"/>
    <w:rPr>
      <w:rFonts w:ascii="Times New Roman" w:hAnsi="Times New Roman" w:eastAsia="Times New Roman" w:cs="Times New Roman"/>
      <w:lang w:val="en-US"/>
    </w:rPr>
  </w:style>
  <w:style w:type="character" w:customStyle="1" w:styleId="34">
    <w:name w:val="Hyperlink.1"/>
    <w:basedOn w:val="12"/>
    <w:qFormat/>
    <w:uiPriority w:val="0"/>
    <w:rPr>
      <w:lang w:val="zh-TW" w:eastAsia="zh-TW"/>
    </w:rPr>
  </w:style>
  <w:style w:type="character" w:customStyle="1" w:styleId="35">
    <w:name w:val="无"/>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Version="6" StyleName="APA" SelectedStyle="\APASixthEditionOfficeOnline.xsl"/>
</file>

<file path=customXml/itemProps1.xml><?xml version="1.0" encoding="utf-8"?>
<ds:datastoreItem xmlns:ds="http://schemas.openxmlformats.org/officeDocument/2006/customXml" ds:itemID="{F99DEDDA-F6A2-4DDC-97F6-DF711EA0702E}">
  <ds:schemaRefs/>
</ds:datastoreItem>
</file>

<file path=docProps/app.xml><?xml version="1.0" encoding="utf-8"?>
<Properties xmlns="http://schemas.openxmlformats.org/officeDocument/2006/extended-properties" xmlns:vt="http://schemas.openxmlformats.org/officeDocument/2006/docPropsVTypes">
  <Template>Normal.dotm</Template>
  <Pages>30</Pages>
  <Words>19141</Words>
  <Characters>19654</Characters>
  <Lines>118</Lines>
  <Paragraphs>33</Paragraphs>
  <TotalTime>77</TotalTime>
  <ScaleCrop>false</ScaleCrop>
  <LinksUpToDate>false</LinksUpToDate>
  <CharactersWithSpaces>19683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2024-02-28T02:32:00Z</dcterms:created>
  <dc:creator>一花一世界</dc:creator>
  <cp:lastModifiedBy>ZYL</cp:lastModifiedBy>
  <cp:lastPrinted>2023-09-29T11:22:00Z</cp:lastPrinted>
  <dcterms:modified xsi:type="dcterms:W3CDTF">2025-08-01T04:50:09Z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F995D74D28D1816A5515016816C2067B_43</vt:lpwstr>
  </property>
  <property fmtid="{D5CDD505-2E9C-101B-9397-08002B2CF9AE}" pid="4" name="KSOTemplateDocerSaveRecord">
    <vt:lpwstr>eyJoZGlkIjoiMTgyY2Y5Y2UxZjkwY2NiYzg1MTM4ZmQzOTFhYWJhY2IiLCJ1c2VySWQiOiIxMTU5MjUzNTY4In0=</vt:lpwstr>
  </property>
</Properties>
</file>